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left"/>
        <w:rPr>
          <w:rFonts w:hint="eastAsia" w:ascii="方正小标宋简体" w:hAnsi="方正小标宋简体" w:eastAsia="方正小标宋简体" w:cs="方正小标宋简体"/>
          <w:sz w:val="40"/>
          <w:szCs w:val="40"/>
          <w:highlight w:val="none"/>
        </w:rPr>
      </w:pPr>
      <w:r>
        <w:rPr>
          <w:rFonts w:hint="eastAsia" w:ascii="方正小标宋简体" w:hAnsi="方正小标宋简体" w:eastAsia="方正小标宋简体" w:cs="方正小标宋简体"/>
          <w:kern w:val="0"/>
          <w:sz w:val="40"/>
          <w:szCs w:val="40"/>
          <w:highlight w:val="none"/>
          <w:lang w:val="en-US" w:eastAsia="zh-CN" w:bidi="ar"/>
        </w:rPr>
        <w:t>2017年度</w:t>
      </w:r>
      <w:r>
        <w:rPr>
          <w:rFonts w:hint="eastAsia" w:ascii="方正小标宋简体" w:hAnsi="方正小标宋简体" w:eastAsia="方正小标宋简体" w:cs="方正小标宋简体"/>
          <w:kern w:val="0"/>
          <w:sz w:val="40"/>
          <w:szCs w:val="40"/>
          <w:highlight w:val="none"/>
          <w:lang w:val="en-US" w:eastAsia="zh-CN" w:bidi="ar"/>
        </w:rPr>
        <w:t>三明市卫生计生药具管理站</w:t>
      </w:r>
      <w:r>
        <w:rPr>
          <w:rFonts w:hint="eastAsia" w:ascii="方正小标宋简体" w:hAnsi="方正小标宋简体" w:eastAsia="方正小标宋简体" w:cs="方正小标宋简体"/>
          <w:kern w:val="0"/>
          <w:sz w:val="40"/>
          <w:szCs w:val="40"/>
          <w:highlight w:val="none"/>
          <w:lang w:val="en-US" w:eastAsia="zh-CN" w:bidi="ar"/>
        </w:rPr>
        <w:t>决算说明</w:t>
      </w:r>
    </w:p>
    <w:p>
      <w:pPr>
        <w:keepNext w:val="0"/>
        <w:keepLines w:val="0"/>
        <w:widowControl/>
        <w:suppressLineNumbers w:val="0"/>
        <w:spacing w:before="0" w:beforeAutospacing="1" w:after="0" w:afterAutospacing="1" w:line="240" w:lineRule="exact"/>
        <w:ind w:left="0" w:right="0" w:firstLine="480" w:firstLineChars="200"/>
        <w:jc w:val="left"/>
        <w:rPr>
          <w:highlight w:val="none"/>
        </w:rPr>
      </w:pPr>
      <w:r>
        <w:rPr>
          <w:rFonts w:asciiTheme="minorHAnsi" w:hAnsiTheme="minorHAnsi" w:eastAsiaTheme="minorEastAsia" w:cstheme="minorBidi"/>
          <w:kern w:val="0"/>
          <w:sz w:val="24"/>
          <w:szCs w:val="24"/>
          <w:highlight w:val="none"/>
          <w:lang w:val="en-US" w:eastAsia="zh-CN" w:bidi="ar"/>
        </w:rPr>
        <w:t> </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按照《关于批复三明市卫生计生药具管理站2</w:t>
      </w:r>
      <w:r>
        <w:rPr>
          <w:rFonts w:hint="eastAsia" w:ascii="仿宋_GB2312" w:hAnsi="仿宋_GB2312" w:eastAsia="仿宋_GB2312" w:cs="仿宋_GB2312"/>
          <w:kern w:val="0"/>
          <w:sz w:val="32"/>
          <w:szCs w:val="32"/>
          <w:highlight w:val="none"/>
          <w:lang w:val="en-US" w:eastAsia="zh-CN" w:bidi="ar"/>
        </w:rPr>
        <w:t>017年度部门决算的通知》的要求，现将我单位2017年度部门决算说明如下:</w:t>
      </w:r>
    </w:p>
    <w:p>
      <w:pPr>
        <w:keepNext w:val="0"/>
        <w:keepLines w:val="0"/>
        <w:widowControl/>
        <w:suppressLineNumbers w:val="0"/>
        <w:spacing w:before="0" w:beforeAutospacing="1" w:after="0" w:afterAutospacing="1" w:line="600" w:lineRule="exact"/>
        <w:ind w:left="0" w:right="0" w:firstLine="640" w:firstLineChars="200"/>
        <w:jc w:val="left"/>
        <w:rPr>
          <w:highlight w:val="none"/>
        </w:rPr>
      </w:pPr>
      <w:r>
        <w:rPr>
          <w:rFonts w:ascii="黑体" w:eastAsia="黑体" w:cs="宋体" w:hAnsiTheme="minorHAnsi"/>
          <w:kern w:val="0"/>
          <w:sz w:val="32"/>
          <w:szCs w:val="32"/>
          <w:highlight w:val="none"/>
          <w:lang w:val="en-US" w:eastAsia="zh-CN" w:bidi="ar"/>
        </w:rPr>
        <w:t>一、部门主要职责</w:t>
      </w:r>
    </w:p>
    <w:p>
      <w:pPr>
        <w:ind w:firstLine="640" w:firstLineChars="200"/>
        <w:jc w:val="left"/>
        <w:rPr>
          <w:rFonts w:hint="eastAsia" w:ascii="仿宋_GB2312" w:hAnsi="仿宋_GB2312" w:eastAsia="仿宋_GB2312" w:cs="仿宋_GB2312"/>
          <w:color w:val="010100"/>
          <w:sz w:val="32"/>
          <w:szCs w:val="32"/>
          <w:highlight w:val="none"/>
        </w:rPr>
      </w:pPr>
      <w:r>
        <w:rPr>
          <w:rFonts w:hint="eastAsia" w:ascii="仿宋_GB2312" w:hAnsi="仿宋_GB2312" w:eastAsia="仿宋_GB2312" w:cs="仿宋_GB2312"/>
          <w:sz w:val="32"/>
          <w:szCs w:val="32"/>
          <w:highlight w:val="none"/>
        </w:rPr>
        <w:t>三明市计划生育药具管理站的主要职责是：宣传、贯彻、执行计划生育药具管理的方针政策及相关的法律法规。</w:t>
      </w:r>
      <w:r>
        <w:rPr>
          <w:rFonts w:hint="eastAsia" w:ascii="仿宋_GB2312" w:hAnsi="仿宋_GB2312" w:eastAsia="仿宋_GB2312" w:cs="仿宋_GB2312"/>
          <w:color w:val="010100"/>
          <w:sz w:val="32"/>
          <w:szCs w:val="32"/>
          <w:highlight w:val="none"/>
        </w:rPr>
        <w:t>组织实施本级计划生育药具的计划统计、采购、发放服务和经费管理、质量管理、监督管理等；承担本级计划生育药具的采购、储运和调拨；以及计划生育药具业务培训和宣传教育。</w:t>
      </w:r>
    </w:p>
    <w:p>
      <w:pPr>
        <w:keepNext w:val="0"/>
        <w:keepLines w:val="0"/>
        <w:widowControl/>
        <w:suppressLineNumbers w:val="0"/>
        <w:spacing w:before="0" w:beforeAutospacing="1" w:after="0" w:afterAutospacing="1" w:line="600" w:lineRule="exact"/>
        <w:ind w:left="0" w:right="0" w:firstLine="640" w:firstLineChars="200"/>
        <w:jc w:val="left"/>
        <w:rPr>
          <w:highlight w:val="none"/>
        </w:rPr>
      </w:pPr>
      <w:r>
        <w:rPr>
          <w:rFonts w:hint="eastAsia" w:ascii="黑体" w:eastAsia="黑体" w:cs="宋体" w:hAnsiTheme="minorHAnsi"/>
          <w:kern w:val="0"/>
          <w:sz w:val="32"/>
          <w:szCs w:val="32"/>
          <w:highlight w:val="none"/>
          <w:lang w:val="en-US" w:eastAsia="zh-CN" w:bidi="ar"/>
        </w:rPr>
        <w:t>二、部门决算单位基本情况</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jc w:val="left"/>
        <w:rPr>
          <w:highlight w:val="none"/>
        </w:rPr>
      </w:pPr>
      <w:r>
        <w:rPr>
          <w:rFonts w:hint="eastAsia" w:ascii="仿宋" w:hAnsi="仿宋" w:eastAsia="仿宋" w:cs="仿宋_GB2312"/>
          <w:kern w:val="0"/>
          <w:sz w:val="32"/>
          <w:szCs w:val="32"/>
          <w:highlight w:val="none"/>
          <w:lang w:val="en-US" w:eastAsia="zh-CN" w:bidi="ar"/>
        </w:rPr>
        <w:t>从决算单位构成看，三明市计划生育药具管理站</w:t>
      </w:r>
      <w:r>
        <w:rPr>
          <w:rFonts w:hint="eastAsia" w:ascii="仿宋" w:hAnsi="仿宋" w:eastAsia="仿宋" w:cs="宋体"/>
          <w:kern w:val="0"/>
          <w:sz w:val="32"/>
          <w:szCs w:val="32"/>
          <w:highlight w:val="none"/>
          <w:lang w:val="en-US" w:eastAsia="zh-CN" w:bidi="ar"/>
        </w:rPr>
        <w:t>包括0个机关行政处（科）室及0个下属单位，其中：列入2017年部门决算编制范围的单位详细情况见下表:</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271"/>
        <w:gridCol w:w="1740"/>
        <w:gridCol w:w="1890"/>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64" w:hRule="atLeast"/>
          <w:jc w:val="center"/>
        </w:trPr>
        <w:tc>
          <w:tcPr>
            <w:tcW w:w="32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600" w:lineRule="exact"/>
              <w:ind w:left="0" w:right="0"/>
              <w:jc w:val="left"/>
              <w:rPr>
                <w:b w:val="0"/>
                <w:bCs w:val="0"/>
                <w:highlight w:val="none"/>
              </w:rPr>
            </w:pPr>
            <w:r>
              <w:rPr>
                <w:rFonts w:hint="eastAsia" w:ascii="仿宋" w:hAnsi="仿宋" w:eastAsia="仿宋" w:cs="仿宋_GB2312"/>
                <w:b w:val="0"/>
                <w:bCs w:val="0"/>
                <w:kern w:val="0"/>
                <w:sz w:val="32"/>
                <w:szCs w:val="32"/>
                <w:highlight w:val="none"/>
                <w:lang w:val="en-US" w:eastAsia="zh-CN" w:bidi="ar"/>
              </w:rPr>
              <w:t>单位名称</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600" w:lineRule="exact"/>
              <w:ind w:left="0" w:right="0"/>
              <w:jc w:val="left"/>
              <w:rPr>
                <w:b w:val="0"/>
                <w:bCs w:val="0"/>
                <w:highlight w:val="none"/>
              </w:rPr>
            </w:pPr>
            <w:r>
              <w:rPr>
                <w:rFonts w:hint="eastAsia" w:ascii="仿宋" w:hAnsi="仿宋" w:eastAsia="仿宋" w:cs="仿宋_GB2312"/>
                <w:b w:val="0"/>
                <w:bCs w:val="0"/>
                <w:kern w:val="0"/>
                <w:sz w:val="32"/>
                <w:szCs w:val="32"/>
                <w:highlight w:val="none"/>
                <w:lang w:val="en-US" w:eastAsia="zh-CN" w:bidi="ar"/>
              </w:rPr>
              <w:t>经费性质</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600" w:lineRule="exact"/>
              <w:ind w:left="0" w:right="0"/>
              <w:jc w:val="left"/>
              <w:rPr>
                <w:b w:val="0"/>
                <w:bCs w:val="0"/>
                <w:highlight w:val="none"/>
              </w:rPr>
            </w:pPr>
            <w:r>
              <w:rPr>
                <w:rFonts w:hint="eastAsia" w:ascii="仿宋" w:hAnsi="仿宋" w:eastAsia="仿宋" w:cs="仿宋_GB2312"/>
                <w:b w:val="0"/>
                <w:bCs w:val="0"/>
                <w:kern w:val="0"/>
                <w:sz w:val="32"/>
                <w:szCs w:val="32"/>
                <w:highlight w:val="none"/>
                <w:lang w:val="en-US" w:eastAsia="zh-CN" w:bidi="ar"/>
              </w:rPr>
              <w:t>人员编制数</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600" w:lineRule="exact"/>
              <w:ind w:left="0" w:right="0"/>
              <w:jc w:val="left"/>
              <w:rPr>
                <w:b w:val="0"/>
                <w:bCs w:val="0"/>
                <w:highlight w:val="none"/>
              </w:rPr>
            </w:pPr>
            <w:r>
              <w:rPr>
                <w:rFonts w:hint="eastAsia" w:ascii="仿宋" w:hAnsi="仿宋" w:eastAsia="仿宋" w:cs="仿宋_GB2312"/>
                <w:b w:val="0"/>
                <w:bCs w:val="0"/>
                <w:kern w:val="0"/>
                <w:sz w:val="32"/>
                <w:szCs w:val="32"/>
                <w:highlight w:val="none"/>
                <w:lang w:val="en-US" w:eastAsia="zh-CN" w:bidi="ar"/>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327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tabs>
                <w:tab w:val="left" w:pos="7513"/>
              </w:tabs>
              <w:adjustRightInd w:val="0"/>
              <w:snapToGrid w:val="0"/>
              <w:spacing w:before="0" w:beforeAutospacing="1" w:after="0" w:afterAutospacing="1" w:line="600" w:lineRule="exact"/>
              <w:ind w:left="0" w:right="0"/>
              <w:jc w:val="left"/>
              <w:rPr>
                <w:b w:val="0"/>
                <w:bCs w:val="0"/>
                <w:highlight w:val="none"/>
              </w:rPr>
            </w:pPr>
            <w:r>
              <w:rPr>
                <w:rFonts w:asciiTheme="minorHAnsi" w:hAnsiTheme="minorHAnsi" w:eastAsiaTheme="minorEastAsia" w:cstheme="minorBidi"/>
                <w:b w:val="0"/>
                <w:bCs w:val="0"/>
                <w:kern w:val="0"/>
                <w:sz w:val="24"/>
                <w:szCs w:val="24"/>
                <w:highlight w:val="none"/>
                <w:lang w:val="en-US" w:eastAsia="zh-CN" w:bidi="ar"/>
              </w:rPr>
              <w:t> </w:t>
            </w:r>
            <w:r>
              <w:rPr>
                <w:rFonts w:hint="eastAsia" w:cstheme="minorBidi"/>
                <w:b w:val="0"/>
                <w:bCs w:val="0"/>
                <w:kern w:val="0"/>
                <w:sz w:val="24"/>
                <w:szCs w:val="24"/>
                <w:highlight w:val="none"/>
                <w:lang w:val="en-US" w:eastAsia="zh-CN" w:bidi="ar"/>
              </w:rPr>
              <w:t>三明市计划生育药具管理站</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tabs>
                <w:tab w:val="left" w:pos="7513"/>
              </w:tabs>
              <w:adjustRightInd w:val="0"/>
              <w:snapToGrid w:val="0"/>
              <w:spacing w:before="0" w:beforeAutospacing="1" w:after="0" w:afterAutospacing="1" w:line="600" w:lineRule="exact"/>
              <w:ind w:left="0" w:right="0"/>
              <w:jc w:val="left"/>
              <w:rPr>
                <w:b w:val="0"/>
                <w:bCs w:val="0"/>
                <w:highlight w:val="none"/>
              </w:rPr>
            </w:pPr>
            <w:r>
              <w:rPr>
                <w:rFonts w:asciiTheme="minorHAnsi" w:hAnsiTheme="minorHAnsi" w:eastAsiaTheme="minorEastAsia" w:cstheme="minorBidi"/>
                <w:b w:val="0"/>
                <w:bCs w:val="0"/>
                <w:kern w:val="0"/>
                <w:sz w:val="24"/>
                <w:szCs w:val="24"/>
                <w:highlight w:val="none"/>
                <w:lang w:val="en-US" w:eastAsia="zh-CN" w:bidi="ar"/>
              </w:rPr>
              <w:t> </w:t>
            </w:r>
            <w:r>
              <w:rPr>
                <w:rFonts w:hint="eastAsia" w:cstheme="minorBidi"/>
                <w:b w:val="0"/>
                <w:bCs w:val="0"/>
                <w:kern w:val="0"/>
                <w:sz w:val="24"/>
                <w:szCs w:val="24"/>
                <w:highlight w:val="none"/>
                <w:lang w:val="en-US" w:eastAsia="zh-CN" w:bidi="ar"/>
              </w:rPr>
              <w:t>财政核拨</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tabs>
                <w:tab w:val="left" w:pos="7513"/>
              </w:tabs>
              <w:adjustRightInd w:val="0"/>
              <w:snapToGrid w:val="0"/>
              <w:spacing w:before="0" w:beforeAutospacing="1" w:after="0" w:afterAutospacing="1" w:line="600" w:lineRule="exact"/>
              <w:ind w:left="0" w:right="0"/>
              <w:jc w:val="left"/>
              <w:rPr>
                <w:b w:val="0"/>
                <w:bCs w:val="0"/>
                <w:highlight w:val="none"/>
                <w:lang w:val="en-US"/>
              </w:rPr>
            </w:pPr>
            <w:r>
              <w:rPr>
                <w:rFonts w:asciiTheme="minorHAnsi" w:hAnsiTheme="minorHAnsi" w:eastAsiaTheme="minorEastAsia" w:cstheme="minorBidi"/>
                <w:b w:val="0"/>
                <w:bCs w:val="0"/>
                <w:kern w:val="0"/>
                <w:sz w:val="24"/>
                <w:szCs w:val="24"/>
                <w:highlight w:val="none"/>
                <w:lang w:val="en-US" w:eastAsia="zh-CN" w:bidi="ar"/>
              </w:rPr>
              <w:t> </w:t>
            </w:r>
            <w:r>
              <w:rPr>
                <w:rFonts w:hint="eastAsia" w:cstheme="minorBidi"/>
                <w:b w:val="0"/>
                <w:bCs w:val="0"/>
                <w:kern w:val="0"/>
                <w:sz w:val="24"/>
                <w:szCs w:val="24"/>
                <w:highlight w:val="none"/>
                <w:lang w:val="en-US" w:eastAsia="zh-CN" w:bidi="ar"/>
              </w:rPr>
              <w:t>6</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tabs>
                <w:tab w:val="left" w:pos="7513"/>
              </w:tabs>
              <w:adjustRightInd w:val="0"/>
              <w:snapToGrid w:val="0"/>
              <w:spacing w:before="0" w:beforeAutospacing="1" w:after="0" w:afterAutospacing="1" w:line="600" w:lineRule="exact"/>
              <w:ind w:left="0" w:right="0"/>
              <w:jc w:val="left"/>
              <w:rPr>
                <w:b w:val="0"/>
                <w:bCs w:val="0"/>
                <w:highlight w:val="none"/>
                <w:lang w:val="en-US"/>
              </w:rPr>
            </w:pPr>
            <w:r>
              <w:rPr>
                <w:rFonts w:asciiTheme="minorHAnsi" w:hAnsiTheme="minorHAnsi" w:eastAsiaTheme="minorEastAsia" w:cstheme="minorBidi"/>
                <w:b w:val="0"/>
                <w:bCs w:val="0"/>
                <w:kern w:val="0"/>
                <w:sz w:val="24"/>
                <w:szCs w:val="24"/>
                <w:highlight w:val="none"/>
                <w:lang w:val="en-US" w:eastAsia="zh-CN" w:bidi="ar"/>
              </w:rPr>
              <w:t> </w:t>
            </w:r>
            <w:r>
              <w:rPr>
                <w:rFonts w:hint="eastAsia" w:cstheme="minorBidi"/>
                <w:b w:val="0"/>
                <w:bCs w:val="0"/>
                <w:kern w:val="0"/>
                <w:sz w:val="24"/>
                <w:szCs w:val="24"/>
                <w:highlight w:val="none"/>
                <w:lang w:val="en-US" w:eastAsia="zh-CN" w:bidi="ar"/>
              </w:rPr>
              <w:t>6</w:t>
            </w:r>
          </w:p>
        </w:tc>
      </w:tr>
    </w:tbl>
    <w:p>
      <w:pPr>
        <w:keepNext w:val="0"/>
        <w:keepLines w:val="0"/>
        <w:widowControl/>
        <w:suppressLineNumbers w:val="0"/>
        <w:spacing w:before="0" w:beforeAutospacing="1" w:after="0" w:afterAutospacing="1" w:line="600" w:lineRule="exact"/>
        <w:ind w:left="0" w:right="0" w:firstLine="480" w:firstLineChars="200"/>
        <w:jc w:val="left"/>
        <w:rPr>
          <w:highlight w:val="none"/>
        </w:rPr>
      </w:pPr>
      <w:r>
        <w:rPr>
          <w:rFonts w:asciiTheme="minorHAnsi" w:hAnsiTheme="minorHAnsi" w:eastAsiaTheme="minorEastAsia" w:cstheme="minorBidi"/>
          <w:kern w:val="0"/>
          <w:sz w:val="24"/>
          <w:szCs w:val="24"/>
          <w:highlight w:val="none"/>
          <w:lang w:val="en-US" w:eastAsia="zh-CN" w:bidi="ar"/>
        </w:rPr>
        <w:t> </w:t>
      </w:r>
    </w:p>
    <w:p>
      <w:pPr>
        <w:keepNext w:val="0"/>
        <w:keepLines w:val="0"/>
        <w:widowControl/>
        <w:suppressLineNumbers w:val="0"/>
        <w:spacing w:before="0" w:beforeAutospacing="1" w:after="0" w:afterAutospacing="1" w:line="600" w:lineRule="exact"/>
        <w:ind w:left="0" w:right="0" w:firstLine="640" w:firstLineChars="200"/>
        <w:jc w:val="left"/>
        <w:rPr>
          <w:highlight w:val="none"/>
        </w:rPr>
      </w:pPr>
      <w:r>
        <w:rPr>
          <w:rFonts w:hint="eastAsia" w:ascii="黑体" w:eastAsia="黑体" w:cs="宋体" w:hAnsiTheme="minorHAnsi"/>
          <w:kern w:val="0"/>
          <w:sz w:val="32"/>
          <w:szCs w:val="32"/>
          <w:highlight w:val="none"/>
          <w:lang w:val="en-US" w:eastAsia="zh-CN" w:bidi="ar"/>
        </w:rPr>
        <w:t>三、部门主要工作总结</w:t>
      </w:r>
    </w:p>
    <w:p>
      <w:pPr>
        <w:tabs>
          <w:tab w:val="left" w:pos="7513"/>
        </w:tabs>
        <w:adjustRightInd w:val="0"/>
        <w:snapToGrid w:val="0"/>
        <w:spacing w:line="60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年，三明市计划生育药具管理站主要任务是：完成省、市卫计委、省计生药具站下达我站计划生育药具工作责任目标。围绕上述任务，重点抓好以下工作：</w:t>
      </w:r>
    </w:p>
    <w:p>
      <w:pPr>
        <w:pBdr>
          <w:bottom w:val="single" w:color="FFFFFF" w:sz="4" w:space="31"/>
        </w:pBdr>
        <w:tabs>
          <w:tab w:val="left" w:pos="1440"/>
        </w:tabs>
        <w:spacing w:line="520" w:lineRule="exact"/>
        <w:ind w:firstLine="640" w:firstLineChars="200"/>
        <w:jc w:val="left"/>
        <w:rPr>
          <w:rFonts w:hint="eastAsia" w:ascii="仿宋_GB2312" w:hAnsi="仿宋" w:eastAsia="仿宋_GB2312"/>
          <w:sz w:val="32"/>
          <w:szCs w:val="32"/>
          <w:highlight w:val="none"/>
        </w:rPr>
      </w:pPr>
      <w:r>
        <w:rPr>
          <w:rFonts w:hint="eastAsia" w:ascii="仿宋_GB2312" w:hAnsi="仿宋" w:eastAsia="仿宋_GB2312" w:cs="宋体"/>
          <w:sz w:val="32"/>
          <w:szCs w:val="32"/>
          <w:highlight w:val="none"/>
        </w:rPr>
        <w:t>（一）</w:t>
      </w:r>
      <w:r>
        <w:rPr>
          <w:rFonts w:hint="eastAsia" w:ascii="仿宋_GB2312" w:hAnsi="仿宋" w:eastAsia="仿宋_GB2312"/>
          <w:sz w:val="32"/>
          <w:szCs w:val="32"/>
          <w:highlight w:val="none"/>
        </w:rPr>
        <w:t>深化药具服务管理机制改革</w:t>
      </w:r>
    </w:p>
    <w:p>
      <w:pPr>
        <w:pBdr>
          <w:bottom w:val="single" w:color="FFFFFF" w:sz="4" w:space="31"/>
        </w:pBdr>
        <w:tabs>
          <w:tab w:val="left" w:pos="1440"/>
        </w:tabs>
        <w:spacing w:line="520" w:lineRule="exact"/>
        <w:ind w:firstLine="640" w:firstLineChars="200"/>
        <w:jc w:val="left"/>
        <w:rPr>
          <w:rFonts w:hint="eastAsia" w:ascii="仿宋_GB2312" w:hAnsi="仿宋" w:eastAsia="仿宋_GB2312"/>
          <w:sz w:val="32"/>
          <w:szCs w:val="32"/>
          <w:highlight w:val="none"/>
        </w:rPr>
      </w:pPr>
      <w:r>
        <w:rPr>
          <w:rFonts w:hint="eastAsia" w:ascii="仿宋_GB2312" w:hAnsi="仿宋" w:eastAsia="仿宋_GB2312" w:cs="宋体"/>
          <w:sz w:val="32"/>
          <w:szCs w:val="32"/>
          <w:highlight w:val="none"/>
        </w:rPr>
        <w:t>在</w:t>
      </w:r>
      <w:r>
        <w:rPr>
          <w:rFonts w:hint="eastAsia" w:ascii="仿宋_GB2312" w:hAnsi="仿宋" w:eastAsia="仿宋_GB2312"/>
          <w:sz w:val="32"/>
          <w:szCs w:val="32"/>
          <w:highlight w:val="none"/>
        </w:rPr>
        <w:t>计划生育服务站、所卫技人员合并到妇幼保健院、卫生院</w:t>
      </w:r>
      <w:r>
        <w:rPr>
          <w:rFonts w:hint="eastAsia" w:ascii="仿宋_GB2312" w:hAnsi="仿宋" w:eastAsia="仿宋_GB2312" w:cs="宋体"/>
          <w:sz w:val="32"/>
          <w:szCs w:val="32"/>
          <w:highlight w:val="none"/>
        </w:rPr>
        <w:t>这一</w:t>
      </w:r>
      <w:r>
        <w:rPr>
          <w:rFonts w:hint="eastAsia" w:ascii="仿宋_GB2312" w:hAnsi="仿宋" w:eastAsia="仿宋_GB2312"/>
          <w:sz w:val="32"/>
          <w:szCs w:val="32"/>
          <w:highlight w:val="none"/>
        </w:rPr>
        <w:t>新的形势</w:t>
      </w:r>
      <w:r>
        <w:rPr>
          <w:rFonts w:hint="eastAsia" w:ascii="仿宋_GB2312" w:hAnsi="仿宋" w:eastAsia="仿宋_GB2312" w:cs="宋体"/>
          <w:sz w:val="32"/>
          <w:szCs w:val="32"/>
          <w:highlight w:val="none"/>
        </w:rPr>
        <w:t>下</w:t>
      </w:r>
      <w:r>
        <w:rPr>
          <w:rFonts w:hint="eastAsia" w:ascii="仿宋_GB2312" w:hAnsi="仿宋" w:eastAsia="仿宋_GB2312"/>
          <w:sz w:val="32"/>
          <w:szCs w:val="32"/>
          <w:highlight w:val="none"/>
        </w:rPr>
        <w:t>，各级卫计领导高度重视药具工作，目前各县</w:t>
      </w:r>
      <w:r>
        <w:rPr>
          <w:rFonts w:hint="eastAsia" w:ascii="仿宋_GB2312" w:hAnsi="仿宋" w:eastAsia="仿宋_GB2312"/>
          <w:sz w:val="32"/>
          <w:szCs w:val="32"/>
          <w:highlight w:val="none"/>
          <w:lang w:eastAsia="zh-CN"/>
        </w:rPr>
        <w:t>（乡、村）整合</w:t>
      </w:r>
      <w:r>
        <w:rPr>
          <w:rFonts w:hint="eastAsia" w:ascii="仿宋_GB2312" w:hAnsi="仿宋" w:eastAsia="仿宋_GB2312"/>
          <w:sz w:val="32"/>
          <w:szCs w:val="32"/>
          <w:highlight w:val="none"/>
        </w:rPr>
        <w:t>已完成，药具职能正常运行，有明确药具管理人员、药具仓库面积达标</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确保人员不少，网点不减，优质服务，群众满意。</w:t>
      </w:r>
    </w:p>
    <w:p>
      <w:pPr>
        <w:pBdr>
          <w:bottom w:val="single" w:color="FFFFFF" w:sz="4" w:space="31"/>
        </w:pBdr>
        <w:tabs>
          <w:tab w:val="left" w:pos="1440"/>
        </w:tabs>
        <w:spacing w:line="520" w:lineRule="exact"/>
        <w:ind w:firstLine="640" w:firstLineChars="200"/>
        <w:jc w:val="left"/>
        <w:rPr>
          <w:rFonts w:hint="eastAsia" w:ascii="仿宋_GB2312" w:hAnsi="仿宋" w:eastAsia="仿宋_GB2312"/>
          <w:sz w:val="32"/>
          <w:szCs w:val="32"/>
          <w:highlight w:val="none"/>
        </w:rPr>
      </w:pPr>
      <w:r>
        <w:rPr>
          <w:rFonts w:hint="eastAsia" w:ascii="仿宋_GB2312" w:hAnsi="仿宋" w:eastAsia="仿宋_GB2312"/>
          <w:sz w:val="32"/>
          <w:szCs w:val="32"/>
          <w:highlight w:val="none"/>
        </w:rPr>
        <w:t>（二）围绕中心工作，服务大局</w:t>
      </w:r>
    </w:p>
    <w:p>
      <w:pPr>
        <w:pBdr>
          <w:bottom w:val="single" w:color="FFFFFF" w:sz="4" w:space="31"/>
        </w:pBdr>
        <w:tabs>
          <w:tab w:val="left" w:pos="1440"/>
        </w:tabs>
        <w:spacing w:line="520" w:lineRule="exact"/>
        <w:ind w:firstLine="640" w:firstLineChars="200"/>
        <w:jc w:val="left"/>
        <w:rPr>
          <w:rFonts w:hint="eastAsia" w:ascii="仿宋_GB2312" w:hAnsi="仿宋" w:eastAsia="仿宋_GB2312"/>
          <w:sz w:val="32"/>
          <w:szCs w:val="32"/>
          <w:highlight w:val="none"/>
        </w:rPr>
      </w:pPr>
      <w:r>
        <w:rPr>
          <w:rFonts w:hint="eastAsia" w:ascii="仿宋_GB2312" w:hAnsi="仿宋" w:eastAsia="仿宋_GB2312"/>
          <w:sz w:val="32"/>
          <w:szCs w:val="32"/>
          <w:highlight w:val="none"/>
        </w:rPr>
        <w:t>2017 年</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免费提供避孕药具项目纳入国家基本公共卫生服务项目，项目经费从基本公共卫生服务经费中安排，项目原有管理责任主体、项目内容、实施主体、资金用途、拨付对象和渠道保持不变。根据《国家卫生计生委办公厅关于做好 2017 年避孕药具采购及发放工作的通知》（国卫办妇幼函〔2017〕914 号）和《国家卫生计生委办公厅关于开展 2017 年世界避孕日主题宣传周活动的通知》（国卫办妇幼函〔2017〕931号）要求</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我市药具管理服务工作围绕卫生和计生中心任务，结合健康福建建设和全面两孩政策实施，健全完善免费避孕药具发放机制，切实维护育龄群众生殖健康权益。</w:t>
      </w:r>
    </w:p>
    <w:p>
      <w:pPr>
        <w:pBdr>
          <w:bottom w:val="single" w:color="FFFFFF" w:sz="4" w:space="31"/>
        </w:pBdr>
        <w:tabs>
          <w:tab w:val="left" w:pos="1440"/>
        </w:tabs>
        <w:spacing w:line="520" w:lineRule="exact"/>
        <w:ind w:firstLine="640" w:firstLineChars="200"/>
        <w:jc w:val="left"/>
        <w:rPr>
          <w:rFonts w:hint="eastAsia" w:ascii="仿宋_GB2312" w:hAnsi="仿宋" w:eastAsia="仿宋_GB2312"/>
          <w:sz w:val="32"/>
          <w:szCs w:val="32"/>
          <w:highlight w:val="none"/>
        </w:rPr>
      </w:pPr>
      <w:r>
        <w:rPr>
          <w:rFonts w:hint="eastAsia" w:ascii="仿宋_GB2312" w:hAnsi="仿宋" w:eastAsia="仿宋_GB2312"/>
          <w:sz w:val="32"/>
          <w:szCs w:val="32"/>
          <w:highlight w:val="none"/>
        </w:rPr>
        <w:t>1、巩固药具免费发放服务网点，实现药具免费发放全覆盖。我市认真抓好药具免费发放服务，年初下达药具工作计划，要求各级必须在流动人口聚集地、新建小区、工业园区、公立医院、社区卫生服务点等药具服务盲区增设药具免费发放</w:t>
      </w:r>
      <w:r>
        <w:rPr>
          <w:rFonts w:hint="eastAsia" w:ascii="仿宋_GB2312" w:hAnsi="仿宋" w:eastAsia="仿宋_GB2312"/>
          <w:sz w:val="32"/>
          <w:szCs w:val="32"/>
          <w:highlight w:val="none"/>
          <w:lang w:eastAsia="zh-CN"/>
        </w:rPr>
        <w:t>自助</w:t>
      </w:r>
      <w:r>
        <w:rPr>
          <w:rFonts w:hint="eastAsia" w:ascii="仿宋_GB2312" w:hAnsi="仿宋" w:eastAsia="仿宋_GB2312"/>
          <w:sz w:val="32"/>
          <w:szCs w:val="32"/>
          <w:highlight w:val="none"/>
        </w:rPr>
        <w:t>发放机，为</w:t>
      </w:r>
      <w:r>
        <w:rPr>
          <w:rFonts w:hint="eastAsia" w:ascii="仿宋_GB2312" w:hAnsi="仿宋" w:eastAsia="仿宋_GB2312"/>
          <w:sz w:val="32"/>
          <w:szCs w:val="32"/>
          <w:highlight w:val="none"/>
          <w:lang w:eastAsia="zh-CN"/>
        </w:rPr>
        <w:t>育龄群众</w:t>
      </w:r>
      <w:r>
        <w:rPr>
          <w:rFonts w:hint="eastAsia" w:ascii="仿宋_GB2312" w:hAnsi="仿宋" w:eastAsia="仿宋_GB2312"/>
          <w:sz w:val="32"/>
          <w:szCs w:val="32"/>
          <w:highlight w:val="none"/>
        </w:rPr>
        <w:t>药具免费发放提供方便。乡镇和村级融合拓展药具工作服务平台，借助医疗、妇幼保健和计划生育技术服务平台</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扩大药具发放服务网点，提高药具工作综合服务</w:t>
      </w:r>
      <w:r>
        <w:rPr>
          <w:rFonts w:hint="eastAsia" w:ascii="仿宋_GB2312" w:hAnsi="仿宋" w:eastAsia="仿宋_GB2312"/>
          <w:sz w:val="32"/>
          <w:szCs w:val="32"/>
          <w:highlight w:val="none"/>
          <w:lang w:eastAsia="zh-CN"/>
        </w:rPr>
        <w:t>能</w:t>
      </w:r>
      <w:r>
        <w:rPr>
          <w:rFonts w:hint="eastAsia" w:ascii="仿宋_GB2312" w:hAnsi="仿宋" w:eastAsia="仿宋_GB2312"/>
          <w:sz w:val="32"/>
          <w:szCs w:val="32"/>
          <w:highlight w:val="none"/>
        </w:rPr>
        <w:t>力，今年新增65 个，全市药具免费发放点2493个。</w:t>
      </w:r>
    </w:p>
    <w:p>
      <w:pPr>
        <w:pBdr>
          <w:bottom w:val="single" w:color="FFFFFF" w:sz="4" w:space="31"/>
        </w:pBdr>
        <w:tabs>
          <w:tab w:val="left" w:pos="1440"/>
        </w:tabs>
        <w:spacing w:line="520" w:lineRule="exact"/>
        <w:ind w:firstLine="640" w:firstLineChars="200"/>
        <w:jc w:val="left"/>
        <w:rPr>
          <w:rFonts w:hint="eastAsia" w:ascii="仿宋_GB2312" w:hAnsi="仿宋" w:eastAsia="仿宋_GB2312"/>
          <w:sz w:val="32"/>
          <w:szCs w:val="32"/>
          <w:highlight w:val="none"/>
        </w:rPr>
      </w:pPr>
      <w:r>
        <w:rPr>
          <w:rFonts w:hint="eastAsia" w:ascii="仿宋_GB2312" w:hAnsi="仿宋" w:eastAsia="仿宋_GB2312"/>
          <w:sz w:val="32"/>
          <w:szCs w:val="32"/>
          <w:highlight w:val="none"/>
        </w:rPr>
        <w:t>2、</w:t>
      </w:r>
      <w:r>
        <w:rPr>
          <w:rFonts w:hint="eastAsia" w:ascii="仿宋_GB2312" w:hAnsi="仿宋" w:eastAsia="仿宋_GB2312"/>
          <w:sz w:val="32"/>
          <w:szCs w:val="32"/>
          <w:highlight w:val="none"/>
          <w:lang w:eastAsia="zh-CN"/>
        </w:rPr>
        <w:t>创新推进</w:t>
      </w:r>
      <w:r>
        <w:rPr>
          <w:rFonts w:hint="eastAsia" w:ascii="仿宋_GB2312" w:hAnsi="仿宋" w:eastAsia="仿宋_GB2312" w:cs="宋体"/>
          <w:sz w:val="32"/>
          <w:szCs w:val="32"/>
          <w:highlight w:val="none"/>
        </w:rPr>
        <w:t>避孕药具管理服务“性福--零距离”工作。我市坚持把实施避孕药具管理服务“性福--零距离”计划作为计划生育优质服务的重要内容，坚持以人的全面发展为中心，全方位保障育龄群众享受到便捷、有效、优质的避孕药具免费服务。实现了药具免费发放机构建设标准化、管理信息化、工作规范化、服务人性化、发放渠道多元化、干部队伍专业化的“六化”目标。促进药具工作步入依法、高效、科学、规范的运转轨道，从而不断满足群众对计划生育避孕药具服务日益增长的需求。</w:t>
      </w:r>
      <w:r>
        <w:rPr>
          <w:rFonts w:hint="eastAsia" w:ascii="仿宋" w:hAnsi="仿宋" w:eastAsia="仿宋" w:cs="仿宋"/>
          <w:sz w:val="32"/>
          <w:szCs w:val="32"/>
          <w:highlight w:val="none"/>
          <w:lang w:val="en-US" w:eastAsia="zh-CN"/>
        </w:rPr>
        <w:t xml:space="preserve"> 一是高度重视“互联网+药具发放服务”新模式，与基层积极探讨推进工作，进一步利用信息化技术改进药具发放服务，做到真正性福“零距离”、“全覆盖”。目前，我市沙县青州镇已率先开通“青州镇避孕药具微信公众号”，运行良好，得到当地育龄群众的一致肯定。</w:t>
      </w:r>
      <w:r>
        <w:rPr>
          <w:rFonts w:hint="eastAsia" w:ascii="仿宋_GB2312" w:hAnsi="仿宋" w:eastAsia="仿宋_GB2312" w:cs="宋体"/>
          <w:sz w:val="32"/>
          <w:szCs w:val="32"/>
          <w:highlight w:val="none"/>
        </w:rPr>
        <w:t>微信平台为育龄群众提供多样化的服务和指导，囊括免费药具配送、线下网点查询、健康知识、优生优育咨询等六项服务，服务面向所有订阅群体。并针对流动人口展开重点宣传，进一步促进流动人口服务均等化。药具发放由单一式向多种形式发放转变,满足育龄群众避孕节育、生殖保健的需求，进一步提高卫计服务水平。</w:t>
      </w:r>
      <w:r>
        <w:rPr>
          <w:rFonts w:hint="eastAsia" w:ascii="仿宋" w:hAnsi="仿宋" w:eastAsia="仿宋" w:cs="仿宋"/>
          <w:sz w:val="32"/>
          <w:szCs w:val="32"/>
          <w:highlight w:val="none"/>
          <w:lang w:val="en-US" w:eastAsia="zh-CN"/>
        </w:rPr>
        <w:t>今后我市将继续加强有关“互联网+”应用模式的推广，尽快在全市范围内建立“互联网+”服务网络，更好的为育龄群众服务。</w:t>
      </w:r>
      <w:r>
        <w:rPr>
          <w:rFonts w:hint="eastAsia" w:ascii="仿宋_GB2312" w:hAnsi="仿宋" w:eastAsia="仿宋_GB2312" w:cs="宋体"/>
          <w:kern w:val="0"/>
          <w:sz w:val="32"/>
          <w:szCs w:val="32"/>
          <w:highlight w:val="none"/>
          <w:shd w:val="clear" w:color="auto" w:fill="FFFFFF"/>
          <w:lang w:eastAsia="zh-CN"/>
        </w:rPr>
        <w:t>二</w:t>
      </w:r>
      <w:r>
        <w:rPr>
          <w:rFonts w:hint="eastAsia" w:ascii="仿宋_GB2312" w:hAnsi="仿宋" w:eastAsia="仿宋_GB2312" w:cs="宋体"/>
          <w:kern w:val="0"/>
          <w:sz w:val="32"/>
          <w:szCs w:val="32"/>
          <w:highlight w:val="none"/>
          <w:shd w:val="clear" w:color="auto" w:fill="FFFFFF"/>
        </w:rPr>
        <w:t>是</w:t>
      </w:r>
      <w:r>
        <w:rPr>
          <w:rFonts w:hint="eastAsia" w:ascii="仿宋_GB2312" w:hAnsi="仿宋" w:eastAsia="仿宋_GB2312" w:cs="宋体"/>
          <w:kern w:val="0"/>
          <w:sz w:val="32"/>
          <w:szCs w:val="32"/>
          <w:highlight w:val="none"/>
          <w:shd w:val="clear" w:color="auto" w:fill="FFFFFF"/>
          <w:lang w:eastAsia="zh-CN"/>
        </w:rPr>
        <w:t>继续加强</w:t>
      </w:r>
      <w:r>
        <w:rPr>
          <w:rFonts w:hint="eastAsia" w:ascii="仿宋_GB2312" w:hAnsi="仿宋" w:eastAsia="仿宋_GB2312" w:cs="宋体"/>
          <w:kern w:val="0"/>
          <w:sz w:val="32"/>
          <w:szCs w:val="32"/>
          <w:highlight w:val="none"/>
          <w:shd w:val="clear" w:color="auto" w:fill="FFFFFF"/>
        </w:rPr>
        <w:t>宣传阵地。各县（市、区）依托</w:t>
      </w:r>
      <w:r>
        <w:rPr>
          <w:rFonts w:hint="eastAsia" w:ascii="仿宋_GB2312" w:hAnsi="仿宋" w:eastAsia="仿宋_GB2312" w:cs="宋体"/>
          <w:kern w:val="0"/>
          <w:sz w:val="32"/>
          <w:szCs w:val="32"/>
          <w:highlight w:val="none"/>
          <w:shd w:val="clear" w:color="auto" w:fill="FFFFFF"/>
          <w:lang w:eastAsia="zh-CN"/>
        </w:rPr>
        <w:t>妇幼保健机构、</w:t>
      </w:r>
      <w:r>
        <w:rPr>
          <w:rFonts w:hint="eastAsia" w:ascii="仿宋_GB2312" w:hAnsi="仿宋" w:eastAsia="仿宋_GB2312" w:cs="宋体"/>
          <w:color w:val="000000"/>
          <w:kern w:val="0"/>
          <w:sz w:val="32"/>
          <w:szCs w:val="32"/>
          <w:highlight w:val="none"/>
          <w:shd w:val="clear" w:color="auto" w:fill="FFFFFF"/>
        </w:rPr>
        <w:t>乡镇计生服务所</w:t>
      </w:r>
      <w:r>
        <w:rPr>
          <w:rFonts w:hint="eastAsia" w:ascii="仿宋_GB2312" w:hAnsi="仿宋" w:eastAsia="仿宋_GB2312" w:cs="宋体"/>
          <w:color w:val="000000"/>
          <w:kern w:val="0"/>
          <w:sz w:val="32"/>
          <w:szCs w:val="32"/>
          <w:highlight w:val="none"/>
          <w:shd w:val="clear" w:color="auto" w:fill="FFFFFF"/>
          <w:lang w:eastAsia="zh-CN"/>
        </w:rPr>
        <w:t>、卫生院（室）</w:t>
      </w:r>
      <w:r>
        <w:rPr>
          <w:rFonts w:hint="eastAsia" w:ascii="仿宋_GB2312" w:hAnsi="仿宋" w:eastAsia="仿宋_GB2312" w:cs="宋体"/>
          <w:color w:val="000000"/>
          <w:kern w:val="0"/>
          <w:sz w:val="32"/>
          <w:szCs w:val="32"/>
          <w:highlight w:val="none"/>
          <w:shd w:val="clear" w:color="auto" w:fill="FFFFFF"/>
        </w:rPr>
        <w:t>服务窗口，</w:t>
      </w:r>
      <w:r>
        <w:rPr>
          <w:rFonts w:hint="eastAsia" w:ascii="仿宋_GB2312" w:hAnsi="仿宋" w:eastAsia="仿宋_GB2312"/>
          <w:sz w:val="32"/>
          <w:szCs w:val="32"/>
          <w:highlight w:val="none"/>
        </w:rPr>
        <w:t>充分利用宣传栏、宣传车、各类媒体，人口文化园、宣传长廊、社区活动室、楼道空间，宣传小册子、重大节日（5.29、7.11、9.26母亲节、男性生殖健康、“世界避孕日”日等）上街宣传。</w:t>
      </w:r>
      <w:r>
        <w:rPr>
          <w:rFonts w:hint="eastAsia" w:ascii="仿宋_GB2312" w:hAnsi="仿宋" w:eastAsia="仿宋_GB2312" w:cs="宋体"/>
          <w:sz w:val="32"/>
          <w:szCs w:val="32"/>
          <w:highlight w:val="none"/>
        </w:rPr>
        <w:t>药具站积极参与各项宣传活动、发放避孕药具，宣传计生政策、优生优育、避孕节育、生殖保健、流动人口便民、维权服务等知识。</w:t>
      </w:r>
      <w:r>
        <w:rPr>
          <w:rFonts w:hint="eastAsia" w:ascii="仿宋_GB2312" w:hAnsi="仿宋" w:eastAsia="仿宋_GB2312" w:cs="宋体"/>
          <w:kern w:val="0"/>
          <w:sz w:val="32"/>
          <w:szCs w:val="32"/>
          <w:highlight w:val="none"/>
        </w:rPr>
        <w:t>据统计，全市</w:t>
      </w:r>
      <w:r>
        <w:rPr>
          <w:rFonts w:hint="eastAsia" w:ascii="仿宋_GB2312" w:hAnsi="仿宋" w:eastAsia="仿宋_GB2312" w:cs="宋体"/>
          <w:kern w:val="0"/>
          <w:sz w:val="32"/>
          <w:szCs w:val="32"/>
          <w:highlight w:val="none"/>
          <w:lang w:eastAsia="zh-CN"/>
        </w:rPr>
        <w:t>共开展</w:t>
      </w:r>
      <w:r>
        <w:rPr>
          <w:rFonts w:hint="eastAsia" w:ascii="仿宋_GB2312" w:hAnsi="仿宋" w:eastAsia="仿宋_GB2312" w:cs="宋体"/>
          <w:kern w:val="0"/>
          <w:sz w:val="32"/>
          <w:szCs w:val="32"/>
          <w:highlight w:val="none"/>
        </w:rPr>
        <w:t>药具宣传活动166场，发放宣传小册子10020本，宣传单57730份，发放各种药具16万份，</w:t>
      </w:r>
      <w:r>
        <w:rPr>
          <w:rFonts w:hint="eastAsia" w:ascii="仿宋_GB2312" w:hAnsi="仿宋" w:eastAsia="仿宋_GB2312"/>
          <w:kern w:val="0"/>
          <w:sz w:val="32"/>
          <w:szCs w:val="32"/>
          <w:highlight w:val="none"/>
        </w:rPr>
        <w:t>取得良好的宣传效果。</w:t>
      </w:r>
    </w:p>
    <w:p>
      <w:pPr>
        <w:jc w:val="left"/>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3、加强科学化制度化规范化建设，提高药具服务管理的工作水平。一是加强药具工作队伍能力建设。借势卫生计生融合发展和乡村卫生计生服务一体化，强化基层药具服务队伍。以业务培训和“药具服务基层”等活动为抓手，推进干部队伍职业化建设，提高各级人员的药具服务管理能力。据统计，全市共举办</w:t>
      </w:r>
      <w:r>
        <w:rPr>
          <w:rFonts w:hint="eastAsia" w:ascii="仿宋_GB2312" w:hAnsi="仿宋" w:eastAsia="仿宋_GB2312"/>
          <w:sz w:val="32"/>
          <w:szCs w:val="32"/>
          <w:highlight w:val="none"/>
          <w:lang w:eastAsia="zh-CN"/>
        </w:rPr>
        <w:t>大小</w:t>
      </w:r>
      <w:r>
        <w:rPr>
          <w:rFonts w:hint="eastAsia" w:ascii="仿宋_GB2312" w:hAnsi="仿宋" w:eastAsia="仿宋_GB2312"/>
          <w:sz w:val="32"/>
          <w:szCs w:val="32"/>
          <w:highlight w:val="none"/>
        </w:rPr>
        <w:t>药具管理员培训班 29期，500</w:t>
      </w:r>
      <w:r>
        <w:rPr>
          <w:rFonts w:hint="eastAsia" w:ascii="仿宋_GB2312" w:hAnsi="仿宋" w:eastAsia="仿宋_GB2312"/>
          <w:sz w:val="32"/>
          <w:szCs w:val="32"/>
          <w:highlight w:val="none"/>
          <w:lang w:eastAsia="zh-CN"/>
        </w:rPr>
        <w:t>余</w:t>
      </w:r>
      <w:r>
        <w:rPr>
          <w:rFonts w:hint="eastAsia" w:ascii="仿宋_GB2312" w:hAnsi="仿宋" w:eastAsia="仿宋_GB2312"/>
          <w:sz w:val="32"/>
          <w:szCs w:val="32"/>
          <w:highlight w:val="none"/>
        </w:rPr>
        <w:t>人参加培训。二是规范药具工作制度</w:t>
      </w:r>
      <w:r>
        <w:rPr>
          <w:rFonts w:hint="eastAsia" w:ascii="仿宋_GB2312" w:hAnsi="仿宋" w:eastAsia="仿宋_GB2312"/>
          <w:sz w:val="32"/>
          <w:szCs w:val="32"/>
          <w:highlight w:val="none"/>
          <w:lang w:eastAsia="zh-CN"/>
        </w:rPr>
        <w:t>。今年</w:t>
      </w:r>
      <w:r>
        <w:rPr>
          <w:rFonts w:hint="eastAsia" w:ascii="仿宋" w:hAnsi="仿宋" w:eastAsia="仿宋" w:cs="仿宋"/>
          <w:sz w:val="32"/>
          <w:szCs w:val="32"/>
          <w:highlight w:val="none"/>
          <w:lang w:val="en-US" w:eastAsia="zh-CN"/>
        </w:rPr>
        <w:t>5月</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根据</w:t>
      </w:r>
      <w:r>
        <w:rPr>
          <w:rFonts w:hint="eastAsia" w:ascii="仿宋" w:hAnsi="仿宋" w:eastAsia="仿宋" w:cs="仿宋"/>
          <w:b w:val="0"/>
          <w:bCs/>
          <w:sz w:val="32"/>
          <w:szCs w:val="32"/>
          <w:highlight w:val="none"/>
        </w:rPr>
        <w:t>闽计药字</w:t>
      </w:r>
      <w:r>
        <w:rPr>
          <w:rFonts w:hint="eastAsia" w:ascii="宋体" w:hAnsi="宋体" w:eastAsia="宋体" w:cs="宋体"/>
          <w:b w:val="0"/>
          <w:bCs/>
          <w:sz w:val="32"/>
          <w:szCs w:val="32"/>
          <w:highlight w:val="none"/>
        </w:rPr>
        <w:t>〔</w:t>
      </w:r>
      <w:r>
        <w:rPr>
          <w:rFonts w:hint="eastAsia" w:ascii="仿宋" w:hAnsi="仿宋" w:eastAsia="仿宋" w:cs="仿宋"/>
          <w:b w:val="0"/>
          <w:bCs/>
          <w:sz w:val="32"/>
          <w:szCs w:val="32"/>
          <w:highlight w:val="none"/>
        </w:rPr>
        <w:t>2017</w:t>
      </w:r>
      <w:r>
        <w:rPr>
          <w:rFonts w:hint="eastAsia" w:ascii="宋体" w:hAnsi="宋体" w:eastAsia="宋体" w:cs="宋体"/>
          <w:b w:val="0"/>
          <w:bCs/>
          <w:sz w:val="32"/>
          <w:szCs w:val="32"/>
          <w:highlight w:val="none"/>
        </w:rPr>
        <w:t>〕</w:t>
      </w:r>
      <w:r>
        <w:rPr>
          <w:rFonts w:hint="eastAsia" w:ascii="仿宋" w:hAnsi="仿宋" w:eastAsia="仿宋" w:cs="仿宋"/>
          <w:b w:val="0"/>
          <w:bCs/>
          <w:sz w:val="32"/>
          <w:szCs w:val="32"/>
          <w:highlight w:val="none"/>
        </w:rPr>
        <w:t>05号</w:t>
      </w:r>
      <w:r>
        <w:rPr>
          <w:rFonts w:hint="eastAsia" w:ascii="仿宋" w:hAnsi="仿宋" w:eastAsia="仿宋" w:cs="仿宋"/>
          <w:b w:val="0"/>
          <w:bCs/>
          <w:sz w:val="32"/>
          <w:szCs w:val="32"/>
          <w:highlight w:val="none"/>
          <w:lang w:eastAsia="zh-CN"/>
        </w:rPr>
        <w:t>《</w:t>
      </w:r>
      <w:r>
        <w:rPr>
          <w:rFonts w:hint="eastAsia" w:ascii="仿宋" w:hAnsi="仿宋" w:eastAsia="仿宋" w:cs="仿宋"/>
          <w:b w:val="0"/>
          <w:bCs/>
          <w:sz w:val="32"/>
          <w:szCs w:val="32"/>
          <w:highlight w:val="none"/>
        </w:rPr>
        <w:t>关</w:t>
      </w:r>
      <w:bookmarkStart w:id="0" w:name="_GoBack"/>
      <w:bookmarkEnd w:id="0"/>
      <w:r>
        <w:rPr>
          <w:rFonts w:hint="eastAsia" w:ascii="仿宋" w:hAnsi="仿宋" w:eastAsia="仿宋" w:cs="仿宋"/>
          <w:b w:val="0"/>
          <w:bCs/>
          <w:sz w:val="32"/>
          <w:szCs w:val="32"/>
          <w:highlight w:val="none"/>
        </w:rPr>
        <w:t>于开展全省计划生育药具工作专项检查的通知</w:t>
      </w:r>
      <w:r>
        <w:rPr>
          <w:rFonts w:hint="eastAsia" w:ascii="仿宋" w:hAnsi="仿宋" w:eastAsia="仿宋" w:cs="仿宋"/>
          <w:b w:val="0"/>
          <w:bCs/>
          <w:sz w:val="32"/>
          <w:szCs w:val="32"/>
          <w:highlight w:val="none"/>
          <w:lang w:eastAsia="zh-CN"/>
        </w:rPr>
        <w:t>》文件精神，我站</w:t>
      </w:r>
      <w:r>
        <w:rPr>
          <w:rFonts w:hint="eastAsia" w:ascii="仿宋_GB2312" w:hAnsi="仿宋" w:eastAsia="仿宋_GB2312"/>
          <w:sz w:val="32"/>
          <w:szCs w:val="32"/>
          <w:highlight w:val="none"/>
        </w:rPr>
        <w:t>加强药具工作规章制度的执行和监督检查工作力度，</w:t>
      </w:r>
      <w:r>
        <w:rPr>
          <w:rFonts w:hint="eastAsia" w:ascii="仿宋_GB2312" w:hAnsi="仿宋" w:eastAsia="仿宋_GB2312"/>
          <w:sz w:val="32"/>
          <w:szCs w:val="32"/>
          <w:highlight w:val="none"/>
          <w:lang w:eastAsia="zh-CN"/>
        </w:rPr>
        <w:t>先后到所辖的十二个县（市、区）妇幼保健院及有关乡镇进行业务调研，并现场指出存在问题，择期按要求整改。</w:t>
      </w:r>
      <w:r>
        <w:rPr>
          <w:rFonts w:hint="eastAsia" w:ascii="仿宋_GB2312" w:hAnsi="仿宋" w:eastAsia="仿宋_GB2312"/>
          <w:sz w:val="32"/>
          <w:szCs w:val="32"/>
          <w:highlight w:val="none"/>
          <w:lang w:val="en-US" w:eastAsia="zh-CN"/>
        </w:rPr>
        <w:t>11月</w:t>
      </w:r>
      <w:r>
        <w:rPr>
          <w:rFonts w:hint="eastAsia" w:ascii="仿宋_GB2312" w:hAnsi="仿宋" w:eastAsia="仿宋_GB2312"/>
          <w:sz w:val="32"/>
          <w:szCs w:val="32"/>
          <w:highlight w:val="none"/>
        </w:rPr>
        <w:t>参与市卫计委年终计生检查，对各县（市、区）药具工作、计划编报、仓储、调拨、计划执行、发放和使用、质量管理规范情况进行检查。各县（市、区）都能做到领导重视，认真落实计划生育药具工作管理规范和药具工作各项规章制度，做到了工作有人抓，有人管。药具仓库面积达标，</w:t>
      </w:r>
      <w:r>
        <w:rPr>
          <w:rFonts w:hint="eastAsia" w:ascii="仿宋_GB2312" w:hAnsi="仿宋" w:eastAsia="仿宋_GB2312"/>
          <w:bCs/>
          <w:sz w:val="32"/>
          <w:szCs w:val="32"/>
          <w:highlight w:val="none"/>
        </w:rPr>
        <w:t>严格执行货物存放流程规范化。</w:t>
      </w:r>
      <w:r>
        <w:rPr>
          <w:rFonts w:hint="eastAsia" w:ascii="仿宋_GB2312" w:hAnsi="仿宋" w:eastAsia="仿宋_GB2312"/>
          <w:sz w:val="32"/>
          <w:szCs w:val="32"/>
          <w:highlight w:val="none"/>
        </w:rPr>
        <w:t>三是</w:t>
      </w:r>
      <w:r>
        <w:rPr>
          <w:rFonts w:hint="eastAsia" w:ascii="仿宋_GB2312" w:hAnsi="仿宋" w:eastAsia="仿宋_GB2312"/>
          <w:bCs/>
          <w:sz w:val="32"/>
          <w:szCs w:val="32"/>
          <w:highlight w:val="none"/>
        </w:rPr>
        <w:t>科学管理、合理调拨零差错。一方面加强科学管理。根据省下达的药具计划数，今年调入</w:t>
      </w:r>
      <w:r>
        <w:rPr>
          <w:rFonts w:hint="eastAsia" w:ascii="仿宋_GB2312" w:hAnsi="仿宋" w:eastAsia="仿宋_GB2312"/>
          <w:bCs/>
          <w:sz w:val="32"/>
          <w:szCs w:val="32"/>
          <w:highlight w:val="none"/>
          <w:lang w:val="en-US" w:eastAsia="zh-CN"/>
        </w:rPr>
        <w:t>74.03</w:t>
      </w:r>
      <w:r>
        <w:rPr>
          <w:rFonts w:hint="eastAsia" w:ascii="仿宋_GB2312" w:hAnsi="仿宋" w:eastAsia="仿宋_GB2312"/>
          <w:bCs/>
          <w:sz w:val="32"/>
          <w:szCs w:val="32"/>
          <w:highlight w:val="none"/>
        </w:rPr>
        <w:t>万元、调出</w:t>
      </w:r>
      <w:r>
        <w:rPr>
          <w:rFonts w:hint="eastAsia" w:ascii="仿宋_GB2312" w:hAnsi="仿宋" w:eastAsia="仿宋_GB2312"/>
          <w:bCs/>
          <w:sz w:val="32"/>
          <w:szCs w:val="32"/>
          <w:highlight w:val="none"/>
          <w:lang w:val="en-US" w:eastAsia="zh-CN"/>
        </w:rPr>
        <w:t>42.97</w:t>
      </w:r>
      <w:r>
        <w:rPr>
          <w:rFonts w:hint="eastAsia" w:ascii="仿宋_GB2312" w:hAnsi="仿宋" w:eastAsia="仿宋_GB2312"/>
          <w:bCs/>
          <w:sz w:val="32"/>
          <w:szCs w:val="32"/>
          <w:highlight w:val="none"/>
        </w:rPr>
        <w:t>万元、库存</w:t>
      </w:r>
      <w:r>
        <w:rPr>
          <w:rFonts w:hint="eastAsia" w:ascii="仿宋_GB2312" w:hAnsi="仿宋" w:eastAsia="仿宋_GB2312"/>
          <w:bCs/>
          <w:sz w:val="32"/>
          <w:szCs w:val="32"/>
          <w:highlight w:val="none"/>
          <w:lang w:val="en-US" w:eastAsia="zh-CN"/>
        </w:rPr>
        <w:t>2.1</w:t>
      </w:r>
      <w:r>
        <w:rPr>
          <w:rFonts w:hint="eastAsia" w:ascii="仿宋_GB2312" w:hAnsi="仿宋" w:eastAsia="仿宋_GB2312"/>
          <w:bCs/>
          <w:sz w:val="32"/>
          <w:szCs w:val="32"/>
          <w:highlight w:val="none"/>
        </w:rPr>
        <w:t>万元.库存比</w:t>
      </w:r>
      <w:r>
        <w:rPr>
          <w:rFonts w:hint="eastAsia" w:ascii="仿宋_GB2312" w:hAnsi="仿宋" w:eastAsia="仿宋_GB2312"/>
          <w:bCs/>
          <w:sz w:val="32"/>
          <w:szCs w:val="32"/>
          <w:highlight w:val="none"/>
          <w:lang w:val="en-US" w:eastAsia="zh-CN"/>
        </w:rPr>
        <w:t>37</w:t>
      </w:r>
      <w:r>
        <w:rPr>
          <w:rFonts w:hint="eastAsia" w:ascii="仿宋_GB2312" w:hAnsi="仿宋" w:eastAsia="仿宋_GB2312"/>
          <w:bCs/>
          <w:sz w:val="32"/>
          <w:szCs w:val="32"/>
          <w:highlight w:val="none"/>
        </w:rPr>
        <w:t>%。</w:t>
      </w:r>
      <w:r>
        <w:rPr>
          <w:rFonts w:hint="eastAsia" w:ascii="仿宋_GB2312" w:hAnsi="仿宋" w:eastAsia="仿宋_GB2312" w:cs="宋体"/>
          <w:bCs/>
          <w:sz w:val="32"/>
          <w:szCs w:val="32"/>
          <w:highlight w:val="none"/>
        </w:rPr>
        <w:t>二方面</w:t>
      </w:r>
      <w:r>
        <w:rPr>
          <w:rFonts w:hint="eastAsia" w:ascii="仿宋_GB2312" w:hAnsi="仿宋" w:eastAsia="仿宋_GB2312"/>
          <w:bCs/>
          <w:sz w:val="32"/>
          <w:szCs w:val="32"/>
          <w:highlight w:val="none"/>
        </w:rPr>
        <w:t>改善库存条件。严格执行货物存放流程规范，实行验货区、合格区、发放区、不合格四个区域，按常温库和阴凉库堆放口服药、外用药、避孕套、宫内节育器，实行按批号堆垛，分区管理。</w:t>
      </w:r>
      <w:r>
        <w:rPr>
          <w:rFonts w:hint="eastAsia" w:ascii="仿宋_GB2312" w:hAnsi="仿宋" w:eastAsia="仿宋_GB2312" w:cs="宋体"/>
          <w:bCs/>
          <w:sz w:val="32"/>
          <w:szCs w:val="32"/>
          <w:highlight w:val="none"/>
        </w:rPr>
        <w:t>三</w:t>
      </w:r>
      <w:r>
        <w:rPr>
          <w:rFonts w:hint="eastAsia" w:ascii="仿宋_GB2312" w:hAnsi="仿宋" w:eastAsia="仿宋_GB2312"/>
          <w:bCs/>
          <w:sz w:val="32"/>
          <w:szCs w:val="32"/>
          <w:highlight w:val="none"/>
        </w:rPr>
        <w:t>方面加强质量管理。自觉加强和规范入库药具的质检工作，在规定时间内完成质检工作，每批必检，全年共质检36个批次，认真做好在库养护工作。同时认真做好仓库的保洁工作，温、湿度的变化观察。</w:t>
      </w:r>
    </w:p>
    <w:p>
      <w:pPr>
        <w:keepNext w:val="0"/>
        <w:keepLines w:val="0"/>
        <w:pageBreakBefore w:val="0"/>
        <w:kinsoku/>
        <w:wordWrap/>
        <w:overflowPunct/>
        <w:topLinePunct w:val="0"/>
        <w:autoSpaceDE/>
        <w:autoSpaceDN/>
        <w:bidi w:val="0"/>
        <w:spacing w:line="580" w:lineRule="exact"/>
        <w:ind w:left="0" w:leftChars="0" w:right="0" w:rightChars="0"/>
        <w:jc w:val="left"/>
        <w:textAlignment w:val="auto"/>
        <w:outlineLvl w:val="9"/>
        <w:rPr>
          <w:rFonts w:hint="eastAsia" w:ascii="仿宋" w:hAnsi="仿宋" w:eastAsia="仿宋" w:cs="仿宋"/>
          <w:sz w:val="32"/>
          <w:szCs w:val="32"/>
          <w:highlight w:val="none"/>
        </w:rPr>
      </w:pPr>
      <w:r>
        <w:rPr>
          <w:rFonts w:hint="eastAsia" w:ascii="仿宋_GB2312" w:hAnsi="仿宋" w:eastAsia="仿宋_GB2312"/>
          <w:bCs/>
          <w:sz w:val="32"/>
          <w:szCs w:val="32"/>
          <w:highlight w:val="none"/>
        </w:rPr>
        <w:t>（三）</w:t>
      </w:r>
      <w:r>
        <w:rPr>
          <w:rFonts w:hint="eastAsia" w:ascii="仿宋" w:hAnsi="仿宋" w:eastAsia="仿宋" w:cs="仿宋"/>
          <w:sz w:val="32"/>
          <w:szCs w:val="32"/>
          <w:highlight w:val="none"/>
        </w:rPr>
        <w:t>规范市场流通环节</w:t>
      </w:r>
      <w:r>
        <w:rPr>
          <w:rFonts w:hint="eastAsia" w:ascii="仿宋_GB2312" w:hAnsi="仿宋" w:eastAsia="仿宋_GB2312"/>
          <w:sz w:val="32"/>
          <w:szCs w:val="32"/>
          <w:highlight w:val="none"/>
        </w:rPr>
        <w:t>，做好检查督查工作。</w:t>
      </w:r>
    </w:p>
    <w:p>
      <w:pPr>
        <w:keepNext w:val="0"/>
        <w:keepLines w:val="0"/>
        <w:pageBreakBefore w:val="0"/>
        <w:kinsoku/>
        <w:wordWrap/>
        <w:overflowPunct/>
        <w:topLinePunct w:val="0"/>
        <w:autoSpaceDE/>
        <w:autoSpaceDN/>
        <w:bidi w:val="0"/>
        <w:spacing w:line="580" w:lineRule="exact"/>
        <w:ind w:left="0" w:leftChars="0" w:right="0" w:rightChars="0" w:firstLine="640" w:firstLineChars="200"/>
        <w:jc w:val="left"/>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进一步规范避孕药具市场管理秩序、保障广大已婚育龄夫妇使用安全、有效的避孕药具，确保国家免费发放的避孕药具不流入市场买卖，确保广大群众享有使用国家提供的安全有效的避孕药具的使用权益。</w:t>
      </w:r>
      <w:r>
        <w:rPr>
          <w:rFonts w:hint="eastAsia" w:ascii="仿宋" w:hAnsi="仿宋" w:eastAsia="仿宋" w:cs="仿宋"/>
          <w:sz w:val="32"/>
          <w:szCs w:val="32"/>
          <w:highlight w:val="none"/>
          <w:lang w:eastAsia="zh-CN"/>
        </w:rPr>
        <w:t>一年来各县（市、区）药具</w:t>
      </w:r>
      <w:r>
        <w:rPr>
          <w:rFonts w:hint="eastAsia" w:ascii="仿宋" w:hAnsi="仿宋" w:eastAsia="仿宋" w:cs="仿宋"/>
          <w:sz w:val="32"/>
          <w:szCs w:val="32"/>
          <w:highlight w:val="none"/>
        </w:rPr>
        <w:t>工作人员对</w:t>
      </w:r>
      <w:r>
        <w:rPr>
          <w:rFonts w:hint="eastAsia" w:ascii="仿宋" w:hAnsi="仿宋" w:eastAsia="仿宋" w:cs="仿宋"/>
          <w:sz w:val="32"/>
          <w:szCs w:val="32"/>
          <w:highlight w:val="none"/>
          <w:lang w:eastAsia="zh-CN"/>
        </w:rPr>
        <w:t>全市范围内</w:t>
      </w:r>
      <w:r>
        <w:rPr>
          <w:rFonts w:hint="eastAsia" w:ascii="仿宋" w:hAnsi="仿宋" w:eastAsia="仿宋" w:cs="仿宋"/>
          <w:sz w:val="32"/>
          <w:szCs w:val="32"/>
          <w:highlight w:val="none"/>
        </w:rPr>
        <w:t>各宾馆、药店等重点区域进行</w:t>
      </w:r>
      <w:r>
        <w:rPr>
          <w:rFonts w:hint="eastAsia" w:ascii="仿宋" w:hAnsi="仿宋" w:eastAsia="仿宋" w:cs="仿宋"/>
          <w:sz w:val="32"/>
          <w:szCs w:val="32"/>
          <w:highlight w:val="none"/>
          <w:lang w:eastAsia="zh-CN"/>
        </w:rPr>
        <w:t>不定期抽</w:t>
      </w:r>
      <w:r>
        <w:rPr>
          <w:rFonts w:hint="eastAsia" w:ascii="仿宋" w:hAnsi="仿宋" w:eastAsia="仿宋" w:cs="仿宋"/>
          <w:sz w:val="32"/>
          <w:szCs w:val="32"/>
          <w:highlight w:val="none"/>
        </w:rPr>
        <w:t>查，在检查中未发现有国家免费避孕药品流入市场销售的现象，避孕药品销售市场较规范。</w:t>
      </w:r>
    </w:p>
    <w:p>
      <w:pPr>
        <w:keepNext w:val="0"/>
        <w:keepLines w:val="0"/>
        <w:widowControl/>
        <w:suppressLineNumbers w:val="0"/>
        <w:spacing w:before="0" w:beforeAutospacing="1" w:after="0" w:afterAutospacing="1" w:line="600" w:lineRule="exact"/>
        <w:ind w:left="0" w:right="0" w:firstLine="640" w:firstLineChars="200"/>
        <w:jc w:val="left"/>
        <w:rPr>
          <w:highlight w:val="none"/>
        </w:rPr>
      </w:pPr>
      <w:r>
        <w:rPr>
          <w:rFonts w:hint="eastAsia" w:ascii="黑体" w:eastAsia="黑体" w:cs="宋体" w:hAnsiTheme="minorHAnsi"/>
          <w:kern w:val="0"/>
          <w:sz w:val="32"/>
          <w:szCs w:val="32"/>
          <w:highlight w:val="none"/>
          <w:lang w:val="en-US" w:eastAsia="zh-CN" w:bidi="ar"/>
        </w:rPr>
        <w:t>四、2017年决算收支总体情况</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jc w:val="left"/>
        <w:rPr>
          <w:highlight w:val="none"/>
        </w:rPr>
      </w:pPr>
      <w:r>
        <w:rPr>
          <w:rFonts w:hint="eastAsia" w:ascii="仿宋" w:hAnsi="仿宋" w:eastAsia="仿宋" w:cs="仿宋_GB2312"/>
          <w:kern w:val="0"/>
          <w:sz w:val="32"/>
          <w:szCs w:val="32"/>
          <w:highlight w:val="none"/>
          <w:lang w:val="en-US" w:eastAsia="zh-CN" w:bidi="ar"/>
        </w:rPr>
        <w:t>2017年</w:t>
      </w:r>
      <w:r>
        <w:rPr>
          <w:rFonts w:hint="eastAsia" w:cstheme="minorBidi"/>
          <w:kern w:val="0"/>
          <w:sz w:val="24"/>
          <w:szCs w:val="24"/>
          <w:highlight w:val="none"/>
          <w:lang w:val="en-US" w:eastAsia="zh-CN" w:bidi="ar"/>
        </w:rPr>
        <w:t>三明市卫生计生药具管理站</w:t>
      </w:r>
      <w:r>
        <w:rPr>
          <w:rFonts w:hint="eastAsia" w:ascii="仿宋" w:hAnsi="仿宋" w:eastAsia="仿宋" w:cs="仿宋_GB2312"/>
          <w:kern w:val="0"/>
          <w:sz w:val="32"/>
          <w:szCs w:val="32"/>
          <w:highlight w:val="none"/>
          <w:lang w:val="en-US" w:eastAsia="zh-CN" w:bidi="ar"/>
        </w:rPr>
        <w:t>年初结转和结余47.56万元，本年收入96.04万元，本年支出110.60万元，事业基金弥补收支差额0.00万元，结余分配0.00万元，年末结转和结余33.01万元。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jc w:val="left"/>
        <w:rPr>
          <w:highlight w:val="none"/>
        </w:rPr>
      </w:pPr>
      <w:r>
        <w:rPr>
          <w:rFonts w:hint="eastAsia" w:ascii="仿宋" w:hAnsi="仿宋" w:eastAsia="仿宋" w:cs="仿宋_GB2312"/>
          <w:kern w:val="0"/>
          <w:sz w:val="32"/>
          <w:szCs w:val="32"/>
          <w:highlight w:val="none"/>
          <w:lang w:val="en-US" w:eastAsia="zh-CN" w:bidi="ar"/>
        </w:rPr>
        <w:t>（一）2017年收入96.04万元，比2016年决算数减少60.62万元，下降38.70％</w:t>
      </w:r>
      <w:r>
        <w:rPr>
          <w:rFonts w:hint="eastAsia" w:ascii="仿宋" w:hAnsi="仿宋" w:eastAsia="仿宋" w:cs="宋体"/>
          <w:kern w:val="0"/>
          <w:sz w:val="32"/>
          <w:szCs w:val="32"/>
          <w:highlight w:val="none"/>
          <w:lang w:val="en-US" w:eastAsia="zh-CN" w:bidi="ar"/>
        </w:rPr>
        <w:t>，</w:t>
      </w:r>
      <w:r>
        <w:rPr>
          <w:rFonts w:hint="eastAsia" w:ascii="仿宋" w:hAnsi="仿宋" w:eastAsia="仿宋" w:cs="仿宋_GB2312"/>
          <w:kern w:val="0"/>
          <w:sz w:val="32"/>
          <w:szCs w:val="32"/>
          <w:highlight w:val="none"/>
          <w:lang w:val="en-US" w:eastAsia="zh-CN" w:bidi="ar"/>
        </w:rPr>
        <w:t>具体情况如下：</w:t>
      </w:r>
    </w:p>
    <w:p>
      <w:pPr>
        <w:keepNext w:val="0"/>
        <w:keepLines w:val="0"/>
        <w:widowControl/>
        <w:suppressLineNumbers w:val="0"/>
        <w:autoSpaceDE w:val="0"/>
        <w:autoSpaceDN w:val="0"/>
        <w:adjustRightInd w:val="0"/>
        <w:spacing w:before="0" w:beforeAutospacing="1" w:after="0" w:afterAutospacing="1" w:line="600" w:lineRule="exact"/>
        <w:ind w:left="160" w:leftChars="76" w:right="0" w:firstLine="480" w:firstLineChars="150"/>
        <w:jc w:val="left"/>
        <w:rPr>
          <w:highlight w:val="none"/>
        </w:rPr>
      </w:pPr>
      <w:r>
        <w:rPr>
          <w:rFonts w:hint="eastAsia" w:ascii="仿宋" w:hAnsi="仿宋" w:eastAsia="仿宋" w:cs="仿宋_GB2312"/>
          <w:kern w:val="0"/>
          <w:sz w:val="32"/>
          <w:szCs w:val="32"/>
          <w:highlight w:val="none"/>
          <w:lang w:val="en-US" w:eastAsia="zh-CN" w:bidi="ar"/>
        </w:rPr>
        <w:t>1.财政拨款收入95.95万元，其中政府性基金0.00万元。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jc w:val="left"/>
        <w:rPr>
          <w:highlight w:val="none"/>
        </w:rPr>
      </w:pPr>
      <w:r>
        <w:rPr>
          <w:rFonts w:hint="eastAsia" w:ascii="仿宋" w:hAnsi="仿宋" w:eastAsia="仿宋" w:cs="仿宋_GB2312"/>
          <w:kern w:val="0"/>
          <w:sz w:val="32"/>
          <w:szCs w:val="32"/>
          <w:highlight w:val="none"/>
          <w:lang w:val="en-US" w:eastAsia="zh-CN" w:bidi="ar"/>
        </w:rPr>
        <w:t>2.事业收入0.00万元。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jc w:val="left"/>
        <w:rPr>
          <w:highlight w:val="none"/>
        </w:rPr>
      </w:pPr>
      <w:r>
        <w:rPr>
          <w:rFonts w:hint="eastAsia" w:ascii="仿宋" w:hAnsi="仿宋" w:eastAsia="仿宋" w:cs="仿宋_GB2312"/>
          <w:kern w:val="0"/>
          <w:sz w:val="32"/>
          <w:szCs w:val="32"/>
          <w:highlight w:val="none"/>
          <w:lang w:val="en-US" w:eastAsia="zh-CN" w:bidi="ar"/>
        </w:rPr>
        <w:t>3.经营收入0.00万元。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jc w:val="left"/>
        <w:rPr>
          <w:highlight w:val="none"/>
        </w:rPr>
      </w:pPr>
      <w:r>
        <w:rPr>
          <w:rFonts w:hint="eastAsia" w:ascii="仿宋" w:hAnsi="仿宋" w:eastAsia="仿宋" w:cs="仿宋_GB2312"/>
          <w:kern w:val="0"/>
          <w:sz w:val="32"/>
          <w:szCs w:val="32"/>
          <w:highlight w:val="none"/>
          <w:lang w:val="en-US" w:eastAsia="zh-CN" w:bidi="ar"/>
        </w:rPr>
        <w:t>4.</w:t>
      </w:r>
      <w:r>
        <w:rPr>
          <w:rFonts w:hint="eastAsia" w:ascii="仿宋" w:hAnsi="仿宋" w:eastAsia="仿宋" w:cs="宋体"/>
          <w:kern w:val="0"/>
          <w:sz w:val="32"/>
          <w:szCs w:val="32"/>
          <w:highlight w:val="none"/>
          <w:lang w:val="en-US" w:eastAsia="zh-CN" w:bidi="ar"/>
        </w:rPr>
        <w:t>上级补助收入</w:t>
      </w:r>
      <w:r>
        <w:rPr>
          <w:rFonts w:hint="eastAsia" w:ascii="仿宋" w:hAnsi="仿宋" w:eastAsia="仿宋" w:cs="仿宋_GB2312"/>
          <w:kern w:val="0"/>
          <w:sz w:val="32"/>
          <w:szCs w:val="32"/>
          <w:highlight w:val="none"/>
          <w:lang w:val="en-US" w:eastAsia="zh-CN" w:bidi="ar"/>
        </w:rPr>
        <w:t>0.00</w:t>
      </w:r>
      <w:r>
        <w:rPr>
          <w:rFonts w:hint="eastAsia" w:ascii="仿宋" w:hAnsi="仿宋" w:eastAsia="仿宋" w:cs="宋体"/>
          <w:kern w:val="0"/>
          <w:sz w:val="32"/>
          <w:szCs w:val="32"/>
          <w:highlight w:val="none"/>
          <w:lang w:val="en-US" w:eastAsia="zh-CN" w:bidi="ar"/>
        </w:rPr>
        <w:t>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jc w:val="left"/>
        <w:rPr>
          <w:highlight w:val="none"/>
        </w:rPr>
      </w:pPr>
      <w:r>
        <w:rPr>
          <w:rFonts w:hint="eastAsia" w:ascii="仿宋" w:hAnsi="仿宋" w:eastAsia="仿宋" w:cs="仿宋_GB2312"/>
          <w:kern w:val="0"/>
          <w:sz w:val="32"/>
          <w:szCs w:val="32"/>
          <w:highlight w:val="none"/>
          <w:lang w:val="en-US" w:eastAsia="zh-CN" w:bidi="ar"/>
        </w:rPr>
        <w:t>5.附属单位上缴收入0.00万元。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jc w:val="left"/>
        <w:rPr>
          <w:highlight w:val="none"/>
        </w:rPr>
      </w:pPr>
      <w:r>
        <w:rPr>
          <w:rFonts w:hint="eastAsia" w:ascii="仿宋" w:hAnsi="仿宋" w:eastAsia="仿宋" w:cs="仿宋_GB2312"/>
          <w:kern w:val="0"/>
          <w:sz w:val="32"/>
          <w:szCs w:val="32"/>
          <w:highlight w:val="none"/>
          <w:lang w:val="en-US" w:eastAsia="zh-CN" w:bidi="ar"/>
        </w:rPr>
        <w:t>6.其他收入0.09万元。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jc w:val="left"/>
        <w:rPr>
          <w:highlight w:val="none"/>
        </w:rPr>
      </w:pPr>
      <w:r>
        <w:rPr>
          <w:rFonts w:hint="eastAsia" w:ascii="仿宋" w:hAnsi="仿宋" w:eastAsia="仿宋" w:cs="仿宋_GB2312"/>
          <w:kern w:val="0"/>
          <w:sz w:val="32"/>
          <w:szCs w:val="32"/>
          <w:highlight w:val="none"/>
          <w:lang w:val="en-US" w:eastAsia="zh-CN" w:bidi="ar"/>
        </w:rPr>
        <w:t>（二）2017年支出110.60万元，比2016年决算数减少21.00万元，下降15.96％</w:t>
      </w:r>
      <w:r>
        <w:rPr>
          <w:rFonts w:hint="eastAsia" w:ascii="仿宋" w:hAnsi="仿宋" w:eastAsia="仿宋" w:cs="宋体"/>
          <w:kern w:val="0"/>
          <w:sz w:val="32"/>
          <w:szCs w:val="32"/>
          <w:highlight w:val="none"/>
          <w:lang w:val="en-US" w:eastAsia="zh-CN" w:bidi="ar"/>
        </w:rPr>
        <w:t>，</w:t>
      </w:r>
      <w:r>
        <w:rPr>
          <w:rFonts w:hint="eastAsia" w:ascii="仿宋" w:hAnsi="仿宋" w:eastAsia="仿宋" w:cs="仿宋_GB2312"/>
          <w:kern w:val="0"/>
          <w:sz w:val="32"/>
          <w:szCs w:val="32"/>
          <w:highlight w:val="none"/>
          <w:lang w:val="en-US" w:eastAsia="zh-CN" w:bidi="ar"/>
        </w:rPr>
        <w:t>具体情况如下：</w:t>
      </w:r>
    </w:p>
    <w:p>
      <w:pPr>
        <w:keepNext w:val="0"/>
        <w:keepLines w:val="0"/>
        <w:widowControl/>
        <w:suppressLineNumbers w:val="0"/>
        <w:tabs>
          <w:tab w:val="left" w:pos="7513"/>
        </w:tabs>
        <w:adjustRightInd w:val="0"/>
        <w:snapToGrid w:val="0"/>
        <w:spacing w:before="0" w:beforeAutospacing="1" w:after="0" w:afterAutospacing="1" w:line="600" w:lineRule="exact"/>
        <w:ind w:left="235" w:leftChars="112" w:right="0" w:firstLine="480" w:firstLineChars="150"/>
        <w:jc w:val="left"/>
        <w:rPr>
          <w:highlight w:val="none"/>
        </w:rPr>
      </w:pPr>
      <w:r>
        <w:rPr>
          <w:rFonts w:hint="eastAsia" w:ascii="仿宋" w:hAnsi="仿宋" w:eastAsia="仿宋" w:cs="仿宋_GB2312"/>
          <w:kern w:val="0"/>
          <w:sz w:val="32"/>
          <w:szCs w:val="32"/>
          <w:highlight w:val="none"/>
          <w:lang w:val="en-US" w:eastAsia="zh-CN" w:bidi="ar"/>
        </w:rPr>
        <w:t>1.基本支出105.39万元。其中，人员支出99.57万元，公用支出5.82万元。</w:t>
      </w:r>
    </w:p>
    <w:p>
      <w:pPr>
        <w:keepNext w:val="0"/>
        <w:keepLines w:val="0"/>
        <w:widowControl/>
        <w:suppressLineNumbers w:val="0"/>
        <w:tabs>
          <w:tab w:val="left" w:pos="7513"/>
        </w:tabs>
        <w:adjustRightInd w:val="0"/>
        <w:snapToGrid w:val="0"/>
        <w:spacing w:before="0" w:beforeAutospacing="1" w:after="0" w:afterAutospacing="1" w:line="600" w:lineRule="exact"/>
        <w:ind w:left="716" w:leftChars="341" w:right="0"/>
        <w:jc w:val="left"/>
        <w:rPr>
          <w:highlight w:val="none"/>
        </w:rPr>
      </w:pPr>
      <w:r>
        <w:rPr>
          <w:rFonts w:hint="eastAsia" w:ascii="仿宋" w:hAnsi="仿宋" w:eastAsia="仿宋" w:cs="仿宋_GB2312"/>
          <w:kern w:val="0"/>
          <w:sz w:val="32"/>
          <w:szCs w:val="32"/>
          <w:highlight w:val="none"/>
          <w:lang w:val="en-US" w:eastAsia="zh-CN" w:bidi="ar"/>
        </w:rPr>
        <w:t>2.项目支出5.20万元。</w:t>
      </w:r>
    </w:p>
    <w:p>
      <w:pPr>
        <w:keepNext w:val="0"/>
        <w:keepLines w:val="0"/>
        <w:widowControl/>
        <w:suppressLineNumbers w:val="0"/>
        <w:tabs>
          <w:tab w:val="left" w:pos="7513"/>
        </w:tabs>
        <w:adjustRightInd w:val="0"/>
        <w:snapToGrid w:val="0"/>
        <w:spacing w:before="0" w:beforeAutospacing="1" w:after="0" w:afterAutospacing="1" w:line="600" w:lineRule="exact"/>
        <w:ind w:left="716" w:leftChars="341" w:right="0"/>
        <w:jc w:val="left"/>
        <w:rPr>
          <w:highlight w:val="none"/>
        </w:rPr>
      </w:pPr>
      <w:r>
        <w:rPr>
          <w:rFonts w:hint="eastAsia" w:ascii="仿宋" w:hAnsi="仿宋" w:eastAsia="仿宋" w:cs="仿宋_GB2312"/>
          <w:kern w:val="0"/>
          <w:sz w:val="32"/>
          <w:szCs w:val="32"/>
          <w:highlight w:val="none"/>
          <w:lang w:val="en-US" w:eastAsia="zh-CN" w:bidi="ar"/>
        </w:rPr>
        <w:t>3.上缴上级支出0.00万元。</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jc w:val="left"/>
        <w:rPr>
          <w:highlight w:val="none"/>
        </w:rPr>
      </w:pPr>
      <w:r>
        <w:rPr>
          <w:rFonts w:hint="eastAsia" w:ascii="仿宋" w:hAnsi="仿宋" w:eastAsia="仿宋" w:cs="仿宋_GB2312"/>
          <w:kern w:val="0"/>
          <w:sz w:val="32"/>
          <w:szCs w:val="32"/>
          <w:highlight w:val="none"/>
          <w:lang w:val="en-US" w:eastAsia="zh-CN" w:bidi="ar"/>
        </w:rPr>
        <w:t>4.经营支出0.00万元。</w:t>
      </w:r>
    </w:p>
    <w:p>
      <w:pPr>
        <w:keepNext w:val="0"/>
        <w:keepLines w:val="0"/>
        <w:widowControl/>
        <w:suppressLineNumbers w:val="0"/>
        <w:spacing w:before="0" w:beforeAutospacing="1" w:after="0" w:afterAutospacing="1" w:line="600" w:lineRule="exact"/>
        <w:ind w:left="0" w:right="0" w:firstLine="640" w:firstLineChars="200"/>
        <w:jc w:val="left"/>
        <w:rPr>
          <w:highlight w:val="none"/>
        </w:rPr>
      </w:pPr>
      <w:r>
        <w:rPr>
          <w:rFonts w:hint="eastAsia" w:ascii="仿宋" w:hAnsi="仿宋" w:eastAsia="仿宋" w:cs="仿宋_GB2312"/>
          <w:kern w:val="0"/>
          <w:sz w:val="32"/>
          <w:szCs w:val="32"/>
          <w:highlight w:val="none"/>
          <w:lang w:val="en-US" w:eastAsia="zh-CN" w:bidi="ar"/>
        </w:rPr>
        <w:t>5.对附属单位补助支出0.00万元。</w:t>
      </w:r>
    </w:p>
    <w:p>
      <w:pPr>
        <w:keepNext w:val="0"/>
        <w:keepLines w:val="0"/>
        <w:widowControl/>
        <w:suppressLineNumbers w:val="0"/>
        <w:spacing w:before="0" w:beforeAutospacing="1" w:after="0" w:afterAutospacing="1" w:line="600" w:lineRule="exact"/>
        <w:ind w:left="0" w:right="0" w:firstLine="640" w:firstLineChars="200"/>
        <w:jc w:val="left"/>
        <w:rPr>
          <w:highlight w:val="none"/>
        </w:rPr>
      </w:pPr>
      <w:r>
        <w:rPr>
          <w:rFonts w:hint="eastAsia" w:ascii="黑体" w:eastAsia="黑体" w:cs="宋体" w:hAnsiTheme="minorHAnsi"/>
          <w:kern w:val="0"/>
          <w:sz w:val="32"/>
          <w:szCs w:val="32"/>
          <w:highlight w:val="none"/>
          <w:lang w:val="en-US" w:eastAsia="zh-CN" w:bidi="ar"/>
        </w:rPr>
        <w:t>五、一般公共预算拨款支出决算情况</w:t>
      </w:r>
    </w:p>
    <w:p>
      <w:pPr>
        <w:keepNext w:val="0"/>
        <w:keepLines w:val="0"/>
        <w:widowControl/>
        <w:suppressLineNumbers w:val="0"/>
        <w:spacing w:before="0" w:beforeAutospacing="1" w:after="0" w:afterAutospacing="1" w:line="600" w:lineRule="exact"/>
        <w:ind w:left="0" w:right="0" w:firstLine="640" w:firstLineChars="200"/>
        <w:jc w:val="left"/>
        <w:rPr>
          <w:highlight w:val="none"/>
        </w:rPr>
      </w:pPr>
      <w:r>
        <w:rPr>
          <w:rFonts w:hint="eastAsia" w:ascii="仿宋" w:hAnsi="仿宋" w:eastAsia="仿宋" w:cs="仿宋_GB2312"/>
          <w:kern w:val="0"/>
          <w:sz w:val="32"/>
          <w:szCs w:val="32"/>
          <w:highlight w:val="none"/>
          <w:lang w:val="en-US" w:eastAsia="zh-CN" w:bidi="ar"/>
        </w:rPr>
        <w:t>2017年</w:t>
      </w:r>
      <w:r>
        <w:rPr>
          <w:rFonts w:hint="eastAsia" w:ascii="仿宋" w:hAnsi="仿宋" w:eastAsia="仿宋" w:cs="宋体"/>
          <w:kern w:val="0"/>
          <w:sz w:val="32"/>
          <w:szCs w:val="32"/>
          <w:highlight w:val="none"/>
          <w:lang w:val="en-US" w:eastAsia="zh-CN" w:bidi="ar"/>
        </w:rPr>
        <w:t>一般公共预算拨款支出</w:t>
      </w:r>
      <w:r>
        <w:rPr>
          <w:rFonts w:hint="eastAsia" w:ascii="仿宋" w:hAnsi="仿宋" w:eastAsia="仿宋" w:cs="仿宋_GB2312"/>
          <w:kern w:val="0"/>
          <w:sz w:val="32"/>
          <w:szCs w:val="32"/>
          <w:highlight w:val="none"/>
          <w:lang w:val="en-US" w:eastAsia="zh-CN" w:bidi="ar"/>
        </w:rPr>
        <w:t>110.60</w:t>
      </w:r>
      <w:r>
        <w:rPr>
          <w:rFonts w:hint="eastAsia" w:ascii="仿宋" w:hAnsi="仿宋" w:eastAsia="仿宋" w:cs="宋体"/>
          <w:kern w:val="0"/>
          <w:sz w:val="32"/>
          <w:szCs w:val="32"/>
          <w:highlight w:val="none"/>
          <w:lang w:val="en-US" w:eastAsia="zh-CN" w:bidi="ar"/>
        </w:rPr>
        <w:t>万元，比上年决算数减少</w:t>
      </w:r>
      <w:r>
        <w:rPr>
          <w:rFonts w:hint="eastAsia" w:ascii="仿宋" w:hAnsi="仿宋" w:eastAsia="仿宋" w:cs="仿宋_GB2312"/>
          <w:kern w:val="0"/>
          <w:sz w:val="32"/>
          <w:szCs w:val="32"/>
          <w:highlight w:val="none"/>
          <w:lang w:val="en-US" w:eastAsia="zh-CN" w:bidi="ar"/>
        </w:rPr>
        <w:t>21.00</w:t>
      </w:r>
      <w:r>
        <w:rPr>
          <w:rFonts w:hint="eastAsia" w:ascii="仿宋" w:hAnsi="仿宋" w:eastAsia="仿宋" w:cs="宋体"/>
          <w:kern w:val="0"/>
          <w:sz w:val="32"/>
          <w:szCs w:val="32"/>
          <w:highlight w:val="none"/>
          <w:lang w:val="en-US" w:eastAsia="zh-CN" w:bidi="ar"/>
        </w:rPr>
        <w:t>万元，下降</w:t>
      </w:r>
      <w:r>
        <w:rPr>
          <w:rFonts w:hint="eastAsia" w:ascii="仿宋" w:hAnsi="仿宋" w:eastAsia="仿宋" w:cs="仿宋_GB2312"/>
          <w:kern w:val="0"/>
          <w:sz w:val="32"/>
          <w:szCs w:val="32"/>
          <w:highlight w:val="none"/>
          <w:lang w:val="en-US" w:eastAsia="zh-CN" w:bidi="ar"/>
        </w:rPr>
        <w:t>15.96</w:t>
      </w:r>
      <w:r>
        <w:rPr>
          <w:rFonts w:hint="eastAsia" w:ascii="仿宋" w:hAnsi="仿宋" w:eastAsia="仿宋" w:cs="宋体"/>
          <w:kern w:val="0"/>
          <w:sz w:val="32"/>
          <w:szCs w:val="32"/>
          <w:highlight w:val="none"/>
          <w:lang w:val="en-US" w:eastAsia="zh-CN" w:bidi="ar"/>
        </w:rPr>
        <w:t xml:space="preserve">%，具体情况如下(按项级科目分类统计)： </w:t>
      </w:r>
    </w:p>
    <w:p>
      <w:pPr>
        <w:keepNext w:val="0"/>
        <w:keepLines w:val="0"/>
        <w:widowControl/>
        <w:suppressLineNumbers w:val="0"/>
        <w:spacing w:before="0" w:beforeAutospacing="1" w:after="0" w:afterAutospacing="1" w:line="600" w:lineRule="exact"/>
        <w:ind w:left="0" w:right="0" w:firstLine="640" w:firstLineChars="200"/>
        <w:jc w:val="left"/>
        <w:rPr>
          <w:highlight w:val="none"/>
        </w:rPr>
      </w:pPr>
      <w:r>
        <w:rPr>
          <w:rFonts w:hint="eastAsia" w:ascii="仿宋" w:hAnsi="仿宋" w:eastAsia="仿宋" w:cs="宋体"/>
          <w:kern w:val="0"/>
          <w:sz w:val="32"/>
          <w:szCs w:val="32"/>
          <w:highlight w:val="none"/>
          <w:lang w:val="en-US" w:eastAsia="zh-CN" w:bidi="ar"/>
        </w:rPr>
        <w:t>（一）基本支出105.4万元，较上年决算数减少25.27万元，下降19.34%。主要原因是人员减少。</w:t>
      </w:r>
    </w:p>
    <w:p>
      <w:pPr>
        <w:keepNext w:val="0"/>
        <w:keepLines w:val="0"/>
        <w:widowControl/>
        <w:suppressLineNumbers w:val="0"/>
        <w:spacing w:before="0" w:beforeAutospacing="1" w:after="0" w:afterAutospacing="1" w:line="600" w:lineRule="exact"/>
        <w:ind w:left="0" w:right="0" w:firstLine="640" w:firstLineChars="200"/>
        <w:jc w:val="left"/>
        <w:rPr>
          <w:highlight w:val="none"/>
        </w:rPr>
      </w:pPr>
      <w:r>
        <w:rPr>
          <w:rFonts w:hint="eastAsia" w:ascii="仿宋" w:hAnsi="仿宋" w:eastAsia="仿宋" w:cs="宋体"/>
          <w:kern w:val="0"/>
          <w:sz w:val="32"/>
          <w:szCs w:val="32"/>
          <w:highlight w:val="none"/>
          <w:lang w:val="en-US" w:eastAsia="zh-CN" w:bidi="ar"/>
        </w:rPr>
        <w:t>（二）项目支出5.2万元，较上年决算数增加4.26万元，增长453.62%。主要原因是送药具下乡车辆费用增加。</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jc w:val="left"/>
        <w:rPr>
          <w:highlight w:val="none"/>
        </w:rPr>
      </w:pPr>
      <w:r>
        <w:rPr>
          <w:rFonts w:hint="eastAsia" w:ascii="黑体" w:eastAsia="黑体" w:cs="仿宋_GB2312" w:hAnsiTheme="minorHAnsi"/>
          <w:bCs/>
          <w:kern w:val="0"/>
          <w:sz w:val="32"/>
          <w:szCs w:val="32"/>
          <w:highlight w:val="none"/>
          <w:lang w:val="en-US" w:eastAsia="zh-CN" w:bidi="ar"/>
        </w:rPr>
        <w:t>六、政府性基金支出决算情况</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jc w:val="left"/>
        <w:rPr>
          <w:rFonts w:hint="eastAsia" w:ascii="仿宋_GB2312" w:hAnsi="仿宋_GB2312" w:eastAsia="仿宋_GB2312" w:cs="仿宋_GB2312"/>
          <w:highlight w:val="none"/>
        </w:rPr>
      </w:pPr>
      <w:r>
        <w:rPr>
          <w:rFonts w:hint="eastAsia" w:ascii="仿宋_GB2312" w:hAnsi="仿宋_GB2312" w:eastAsia="仿宋_GB2312" w:cs="仿宋_GB2312"/>
          <w:kern w:val="0"/>
          <w:sz w:val="32"/>
          <w:szCs w:val="32"/>
          <w:highlight w:val="none"/>
          <w:lang w:val="en-US" w:eastAsia="zh-CN" w:bidi="ar"/>
        </w:rPr>
        <w:t>本单位2014年度没有使用政府性基金预算拨款安排的支出”。</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jc w:val="left"/>
        <w:rPr>
          <w:highlight w:val="none"/>
        </w:rPr>
      </w:pPr>
      <w:r>
        <w:rPr>
          <w:rFonts w:hint="eastAsia" w:ascii="黑体" w:eastAsia="黑体" w:cs="仿宋_GB2312" w:hAnsiTheme="minorHAnsi"/>
          <w:bCs/>
          <w:kern w:val="0"/>
          <w:sz w:val="32"/>
          <w:szCs w:val="32"/>
          <w:highlight w:val="none"/>
          <w:lang w:val="en-US" w:eastAsia="zh-CN" w:bidi="ar"/>
        </w:rPr>
        <w:t>七、财政拨款基本支出决算情况</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jc w:val="left"/>
        <w:rPr>
          <w:highlight w:val="none"/>
        </w:rPr>
      </w:pPr>
      <w:r>
        <w:rPr>
          <w:rFonts w:hint="eastAsia" w:ascii="仿宋" w:hAnsi="仿宋" w:eastAsia="仿宋" w:cs="仿宋_GB2312"/>
          <w:kern w:val="0"/>
          <w:sz w:val="32"/>
          <w:szCs w:val="32"/>
          <w:highlight w:val="none"/>
          <w:lang w:val="en-US" w:eastAsia="zh-CN" w:bidi="ar"/>
        </w:rPr>
        <w:t>2017年度财政拨款基本支出105.39万元，其中：</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jc w:val="left"/>
        <w:rPr>
          <w:highlight w:val="none"/>
        </w:rPr>
      </w:pPr>
      <w:r>
        <w:rPr>
          <w:rFonts w:hint="eastAsia" w:ascii="仿宋" w:hAnsi="仿宋" w:eastAsia="仿宋" w:cs="仿宋_GB2312"/>
          <w:kern w:val="0"/>
          <w:sz w:val="32"/>
          <w:szCs w:val="32"/>
          <w:highlight w:val="none"/>
          <w:lang w:val="en-US" w:eastAsia="zh-CN" w:bidi="ar"/>
        </w:rPr>
        <w:t>（一）人员经费99.57万 元，主要包括：基本工资、津贴补贴、奖金、伙食补助费、绩效工资、机关事业单位基本养老保险缴费、职业年金缴费、其他社会保障缴费、其他工资福利支出、离 休费、退休费、抚恤金、生活补助、医疗费、奖励金、住房公积金、提租补贴、购房补贴、采暖补贴、物业服务补贴、其他对个人和家庭的补助支出。</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jc w:val="left"/>
        <w:rPr>
          <w:highlight w:val="none"/>
        </w:rPr>
      </w:pPr>
      <w:r>
        <w:rPr>
          <w:rFonts w:hint="eastAsia" w:ascii="仿宋" w:hAnsi="仿宋" w:eastAsia="仿宋" w:cs="仿宋_GB2312"/>
          <w:kern w:val="0"/>
          <w:sz w:val="32"/>
          <w:szCs w:val="32"/>
          <w:highlight w:val="none"/>
          <w:lang w:val="en-US" w:eastAsia="zh-CN" w:bidi="ar"/>
        </w:rPr>
        <w:t>（二）公用经费5.82万 元，主要包括：办公费、印刷费、咨询费、手续费、水费、电费、邮电费、取暖费、物业管理费、差旅费、因公出国（境）费用、维修（护）费、租赁费、会议费、 培训费、公务接待费、专用材料费、劳务费、委托业务费、工会经费、福利费、公务用车运行维护费、其他交通费用、税金及附加费用、其他商品和服务支出、办公 设备购置、专用设备购置、信息网络及软件购置更新、其他资本性支出。</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jc w:val="left"/>
        <w:rPr>
          <w:highlight w:val="none"/>
        </w:rPr>
      </w:pPr>
      <w:r>
        <w:rPr>
          <w:rFonts w:hint="eastAsia" w:ascii="黑体" w:eastAsia="黑体" w:cs="仿宋_GB2312" w:hAnsiTheme="minorHAnsi"/>
          <w:bCs/>
          <w:kern w:val="0"/>
          <w:sz w:val="32"/>
          <w:szCs w:val="32"/>
          <w:highlight w:val="none"/>
          <w:lang w:val="en-US" w:eastAsia="zh-CN" w:bidi="ar"/>
        </w:rPr>
        <w:t>八、</w:t>
      </w:r>
      <w:r>
        <w:rPr>
          <w:rFonts w:hint="eastAsia" w:ascii="黑体" w:eastAsia="黑体" w:cs="宋体" w:hAnsiTheme="minorHAnsi"/>
          <w:kern w:val="0"/>
          <w:sz w:val="32"/>
          <w:szCs w:val="32"/>
          <w:highlight w:val="none"/>
          <w:lang w:val="en-US" w:eastAsia="zh-CN" w:bidi="ar"/>
        </w:rPr>
        <w:t>一般公共预算拨款</w:t>
      </w:r>
      <w:r>
        <w:rPr>
          <w:rFonts w:hint="eastAsia" w:ascii="黑体" w:eastAsia="黑体" w:cs="仿宋_GB2312" w:hAnsiTheme="minorHAnsi"/>
          <w:bCs/>
          <w:kern w:val="0"/>
          <w:sz w:val="32"/>
          <w:szCs w:val="32"/>
          <w:highlight w:val="none"/>
          <w:lang w:val="en-US" w:eastAsia="zh-CN" w:bidi="ar"/>
        </w:rPr>
        <w:t>“三公”经费支出决算情况</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704" w:firstLineChars="220"/>
        <w:jc w:val="left"/>
        <w:rPr>
          <w:highlight w:val="none"/>
        </w:rPr>
      </w:pPr>
      <w:r>
        <w:rPr>
          <w:rFonts w:hint="eastAsia" w:ascii="仿宋" w:hAnsi="仿宋" w:eastAsia="仿宋" w:cs="仿宋_GB2312"/>
          <w:kern w:val="0"/>
          <w:sz w:val="32"/>
          <w:szCs w:val="32"/>
          <w:highlight w:val="none"/>
          <w:lang w:val="en-US" w:eastAsia="zh-CN" w:bidi="ar"/>
        </w:rPr>
        <w:t>2017年度“三公”经费一般公共预算拨款1.98万元，同比增长12,275.00%。具体情况如下：</w:t>
      </w:r>
      <w:r>
        <w:rPr>
          <w:rFonts w:hint="eastAsia" w:ascii="仿宋" w:hAnsi="仿宋" w:eastAsia="仿宋" w:cs="仿宋_GB2312"/>
          <w:kern w:val="0"/>
          <w:sz w:val="32"/>
          <w:szCs w:val="32"/>
          <w:highlight w:val="none"/>
          <w:lang w:val="en-US" w:eastAsia="zh-CN" w:bidi="ar"/>
        </w:rPr>
        <w:br w:type="textWrapping"/>
      </w:r>
      <w:r>
        <w:rPr>
          <w:rFonts w:hint="eastAsia" w:ascii="仿宋" w:hAnsi="仿宋" w:eastAsia="仿宋" w:cs="仿宋_GB2312"/>
          <w:kern w:val="0"/>
          <w:sz w:val="32"/>
          <w:szCs w:val="32"/>
          <w:highlight w:val="none"/>
          <w:lang w:val="en-US" w:eastAsia="zh-CN" w:bidi="ar"/>
        </w:rPr>
        <w:t>　　（一）因公出国（境）费0.00万元,与2016年相同。</w:t>
      </w:r>
      <w:r>
        <w:rPr>
          <w:rFonts w:hint="eastAsia" w:ascii="仿宋" w:hAnsi="仿宋" w:eastAsia="仿宋" w:cs="仿宋_GB2312"/>
          <w:kern w:val="0"/>
          <w:sz w:val="32"/>
          <w:szCs w:val="32"/>
          <w:highlight w:val="none"/>
          <w:lang w:val="en-US" w:eastAsia="zh-CN" w:bidi="ar"/>
        </w:rPr>
        <w:br w:type="textWrapping"/>
      </w:r>
      <w:r>
        <w:rPr>
          <w:rFonts w:hint="eastAsia" w:ascii="仿宋" w:hAnsi="仿宋" w:eastAsia="仿宋" w:cs="仿宋_GB2312"/>
          <w:kern w:val="0"/>
          <w:sz w:val="32"/>
          <w:szCs w:val="32"/>
          <w:highlight w:val="none"/>
          <w:lang w:val="en-US" w:eastAsia="zh-CN" w:bidi="ar"/>
        </w:rPr>
        <w:t xml:space="preserve">    （二）公务用车购置及运行费1.86万元。其中：公务用车购置费0.00万元，2017年公务用车购置0辆。公务用车运行费1.86万元，主要用于公务用车燃油、维修、保险等方面支出，年末公务用车保有量1辆。与2016年相比，公务用车购置费和运行费分别增长0.00%和100%，主要是:2016年公务车辆停用、车辆费用为0元，2017年车辆正常使用、有车辆费用。</w:t>
      </w:r>
      <w:r>
        <w:rPr>
          <w:rFonts w:hint="eastAsia" w:ascii="仿宋" w:hAnsi="仿宋" w:eastAsia="仿宋" w:cs="仿宋_GB2312"/>
          <w:kern w:val="0"/>
          <w:sz w:val="32"/>
          <w:szCs w:val="32"/>
          <w:highlight w:val="none"/>
          <w:lang w:val="en-US" w:eastAsia="zh-CN" w:bidi="ar"/>
        </w:rPr>
        <w:br w:type="textWrapping"/>
      </w:r>
      <w:r>
        <w:rPr>
          <w:rFonts w:hint="eastAsia" w:ascii="仿宋" w:hAnsi="仿宋" w:eastAsia="仿宋" w:cs="仿宋_GB2312"/>
          <w:kern w:val="0"/>
          <w:sz w:val="32"/>
          <w:szCs w:val="32"/>
          <w:highlight w:val="none"/>
          <w:lang w:val="en-US" w:eastAsia="zh-CN" w:bidi="ar"/>
        </w:rPr>
        <w:t>　　（三）公务接待费0.12万元。主</w:t>
      </w:r>
      <w:r>
        <w:rPr>
          <w:rFonts w:hint="eastAsia" w:ascii="仿宋" w:hAnsi="仿宋" w:eastAsia="仿宋" w:cs="仿宋_GB2312"/>
          <w:kern w:val="0"/>
          <w:sz w:val="32"/>
          <w:szCs w:val="32"/>
          <w:highlight w:val="none"/>
          <w:lang w:val="en-US" w:eastAsia="zh-CN" w:bidi="ar"/>
        </w:rPr>
        <w:t>要用于省药具管理站药具发放服务与入库质量情况调研等方面的接待活动，</w:t>
      </w:r>
      <w:r>
        <w:rPr>
          <w:rFonts w:hint="eastAsia" w:ascii="仿宋" w:hAnsi="仿宋" w:eastAsia="仿宋" w:cs="仿宋_GB2312"/>
          <w:kern w:val="0"/>
          <w:sz w:val="32"/>
          <w:szCs w:val="32"/>
          <w:highlight w:val="none"/>
          <w:lang w:val="en-US" w:eastAsia="zh-CN" w:bidi="ar"/>
        </w:rPr>
        <w:t>累计接待1批次、接待总人数14人次。与2016年相比, 公务接待费支出增长650.00%，</w:t>
      </w:r>
      <w:r>
        <w:rPr>
          <w:rFonts w:hint="eastAsia" w:ascii="仿宋" w:hAnsi="仿宋" w:eastAsia="仿宋" w:cs="仿宋_GB2312"/>
          <w:kern w:val="0"/>
          <w:sz w:val="32"/>
          <w:szCs w:val="32"/>
          <w:highlight w:val="none"/>
          <w:lang w:val="en-US" w:eastAsia="zh-CN" w:bidi="ar"/>
        </w:rPr>
        <w:t>主要是:省药具管理站药具发放服务与入库质量情况调研</w:t>
      </w:r>
      <w:r>
        <w:rPr>
          <w:rFonts w:hint="eastAsia" w:ascii="仿宋" w:hAnsi="仿宋" w:eastAsia="仿宋" w:cs="仿宋_GB2312"/>
          <w:kern w:val="0"/>
          <w:sz w:val="32"/>
          <w:szCs w:val="32"/>
          <w:highlight w:val="none"/>
          <w:lang w:val="en-US" w:eastAsia="zh-CN" w:bidi="ar"/>
        </w:rPr>
        <w:t>。</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jc w:val="left"/>
        <w:rPr>
          <w:highlight w:val="none"/>
        </w:rPr>
      </w:pPr>
      <w:r>
        <w:rPr>
          <w:rFonts w:hint="eastAsia" w:ascii="黑体" w:eastAsia="黑体" w:cs="宋体" w:hAnsiTheme="minorHAnsi"/>
          <w:kern w:val="0"/>
          <w:sz w:val="32"/>
          <w:szCs w:val="32"/>
          <w:highlight w:val="none"/>
          <w:lang w:val="en-US" w:eastAsia="zh-CN" w:bidi="ar"/>
        </w:rPr>
        <w:t>九、其他重要事项说明</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3" w:firstLineChars="200"/>
        <w:jc w:val="left"/>
        <w:rPr>
          <w:highlight w:val="none"/>
        </w:rPr>
      </w:pPr>
      <w:r>
        <w:rPr>
          <w:rFonts w:hint="default" w:ascii="楷体" w:hAnsi="楷体" w:eastAsia="楷体" w:cs="宋体"/>
          <w:b/>
          <w:bCs w:val="0"/>
          <w:kern w:val="0"/>
          <w:sz w:val="32"/>
          <w:szCs w:val="32"/>
          <w:highlight w:val="none"/>
          <w:lang w:val="en-US" w:eastAsia="zh-CN" w:bidi="ar"/>
        </w:rPr>
        <w:t>（一）机关运行经费</w:t>
      </w:r>
      <w:r>
        <w:rPr>
          <w:rFonts w:hint="eastAsia" w:ascii="黑体" w:eastAsia="黑体" w:cs="仿宋_GB2312" w:hAnsiTheme="minorHAnsi"/>
          <w:bCs/>
          <w:kern w:val="0"/>
          <w:sz w:val="32"/>
          <w:szCs w:val="32"/>
          <w:highlight w:val="none"/>
          <w:lang w:val="en-US" w:eastAsia="zh-CN" w:bidi="ar"/>
        </w:rPr>
        <w:t xml:space="preserve"> </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jc w:val="left"/>
        <w:rPr>
          <w:rFonts w:hint="eastAsia" w:ascii="仿宋_GB2312" w:hAnsi="仿宋_GB2312" w:eastAsia="仿宋_GB2312" w:cs="仿宋_GB2312"/>
          <w:highlight w:val="none"/>
        </w:rPr>
      </w:pPr>
      <w:r>
        <w:rPr>
          <w:rFonts w:hint="eastAsia" w:ascii="仿宋_GB2312" w:hAnsi="仿宋_GB2312" w:eastAsia="仿宋_GB2312" w:cs="仿宋_GB2312"/>
          <w:kern w:val="0"/>
          <w:sz w:val="32"/>
          <w:szCs w:val="32"/>
          <w:highlight w:val="none"/>
          <w:lang w:val="en-US" w:eastAsia="zh-CN" w:bidi="ar"/>
        </w:rPr>
        <w:t>本单位为事业单位没有机关运行经费。</w:t>
      </w:r>
    </w:p>
    <w:p>
      <w:pPr>
        <w:keepNext w:val="0"/>
        <w:keepLines w:val="0"/>
        <w:widowControl/>
        <w:suppressLineNumbers w:val="0"/>
        <w:autoSpaceDE w:val="0"/>
        <w:autoSpaceDN w:val="0"/>
        <w:adjustRightInd w:val="0"/>
        <w:spacing w:before="0" w:beforeAutospacing="1" w:after="0" w:afterAutospacing="1" w:line="600" w:lineRule="exact"/>
        <w:ind w:left="0" w:right="0" w:firstLine="643" w:firstLineChars="200"/>
        <w:jc w:val="left"/>
        <w:rPr>
          <w:highlight w:val="none"/>
        </w:rPr>
      </w:pPr>
      <w:r>
        <w:rPr>
          <w:rFonts w:hint="default" w:ascii="楷体" w:hAnsi="楷体" w:eastAsia="楷体" w:cs="宋体"/>
          <w:b/>
          <w:bCs w:val="0"/>
          <w:kern w:val="0"/>
          <w:sz w:val="32"/>
          <w:szCs w:val="32"/>
          <w:highlight w:val="none"/>
          <w:lang w:val="en-US" w:eastAsia="zh-CN" w:bidi="ar"/>
        </w:rPr>
        <w:t>（二）政府采购情况</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jc w:val="left"/>
        <w:rPr>
          <w:rFonts w:hint="eastAsia" w:ascii="仿宋_GB2312" w:hAnsi="仿宋_GB2312" w:eastAsia="仿宋_GB2312" w:cs="仿宋_GB2312"/>
          <w:highlight w:val="none"/>
        </w:rPr>
      </w:pPr>
      <w:r>
        <w:rPr>
          <w:rFonts w:hint="eastAsia" w:ascii="仿宋_GB2312" w:hAnsi="仿宋_GB2312" w:eastAsia="仿宋_GB2312" w:cs="仿宋_GB2312"/>
          <w:kern w:val="0"/>
          <w:sz w:val="32"/>
          <w:szCs w:val="32"/>
          <w:highlight w:val="none"/>
          <w:lang w:val="en-US" w:eastAsia="zh-CN" w:bidi="ar"/>
        </w:rPr>
        <w:t>本单位2017年度没有政府采购支出。</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707" w:firstLineChars="220"/>
        <w:jc w:val="left"/>
        <w:rPr>
          <w:highlight w:val="none"/>
        </w:rPr>
      </w:pPr>
      <w:r>
        <w:rPr>
          <w:rFonts w:hint="default" w:ascii="楷体" w:hAnsi="楷体" w:eastAsia="楷体" w:cs="宋体"/>
          <w:b/>
          <w:bCs w:val="0"/>
          <w:kern w:val="0"/>
          <w:sz w:val="32"/>
          <w:szCs w:val="32"/>
          <w:highlight w:val="none"/>
          <w:lang w:val="en-US" w:eastAsia="zh-CN" w:bidi="ar"/>
        </w:rPr>
        <w:t>（三）国有资产占用使用情况</w:t>
      </w:r>
      <w:r>
        <w:rPr>
          <w:rFonts w:hint="eastAsia" w:ascii="黑体" w:eastAsia="黑体" w:cs="宋体" w:hAnsiTheme="minorHAnsi"/>
          <w:kern w:val="0"/>
          <w:sz w:val="32"/>
          <w:szCs w:val="32"/>
          <w:highlight w:val="none"/>
          <w:lang w:val="en-US" w:eastAsia="zh-CN" w:bidi="ar"/>
        </w:rPr>
        <w:t xml:space="preserve"> </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704" w:firstLineChars="220"/>
        <w:jc w:val="left"/>
        <w:rPr>
          <w:highlight w:val="none"/>
        </w:rPr>
      </w:pPr>
      <w:r>
        <w:rPr>
          <w:rFonts w:hint="eastAsia" w:ascii="仿宋" w:hAnsi="仿宋" w:eastAsia="仿宋" w:cs="仿宋_GB2312"/>
          <w:kern w:val="0"/>
          <w:sz w:val="32"/>
          <w:szCs w:val="32"/>
          <w:highlight w:val="none"/>
          <w:lang w:val="en-US" w:eastAsia="zh-CN" w:bidi="ar"/>
        </w:rPr>
        <w:t>截至2017年12月31日，本部门共有车辆1辆，其中：部级领导干部用车0辆、一般公务用车1辆、一般执法执勤用车0辆、特种专业技术用车0辆、其他用车0辆；单价50万元（含）以上通用设备0台（套），单价100万元（含）以上专用设备0台（套）。</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707" w:firstLineChars="220"/>
        <w:jc w:val="left"/>
        <w:rPr>
          <w:highlight w:val="none"/>
        </w:rPr>
      </w:pPr>
      <w:r>
        <w:rPr>
          <w:rFonts w:hint="default" w:ascii="楷体" w:hAnsi="楷体" w:eastAsia="楷体" w:cs="宋体"/>
          <w:b/>
          <w:bCs w:val="0"/>
          <w:kern w:val="0"/>
          <w:sz w:val="32"/>
          <w:szCs w:val="32"/>
          <w:highlight w:val="none"/>
          <w:lang w:val="en-US" w:eastAsia="zh-CN" w:bidi="ar"/>
        </w:rPr>
        <w:t>（四）</w:t>
      </w:r>
      <w:r>
        <w:rPr>
          <w:rFonts w:hint="default" w:ascii="楷体" w:hAnsi="楷体" w:eastAsia="楷体" w:cs="仿宋_GB2312"/>
          <w:b/>
          <w:kern w:val="0"/>
          <w:sz w:val="32"/>
          <w:szCs w:val="32"/>
          <w:highlight w:val="none"/>
          <w:lang w:val="en-US" w:eastAsia="zh-CN" w:bidi="ar"/>
        </w:rPr>
        <w:t>项目绩效自评报告</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jc w:val="left"/>
        <w:rPr>
          <w:rFonts w:hint="eastAsia" w:ascii="仿宋" w:hAnsi="仿宋" w:eastAsia="仿宋" w:cs="仿宋_GB2312"/>
          <w:kern w:val="0"/>
          <w:sz w:val="32"/>
          <w:szCs w:val="32"/>
          <w:highlight w:val="none"/>
          <w:lang w:val="en-US" w:eastAsia="zh-CN" w:bidi="ar"/>
        </w:rPr>
      </w:pPr>
      <w:r>
        <w:rPr>
          <w:rFonts w:hint="eastAsia" w:ascii="仿宋" w:hAnsi="仿宋" w:eastAsia="仿宋" w:cs="仿宋_GB2312"/>
          <w:kern w:val="0"/>
          <w:sz w:val="32"/>
          <w:szCs w:val="32"/>
          <w:highlight w:val="none"/>
          <w:lang w:val="en-US" w:eastAsia="zh-CN" w:bidi="ar"/>
        </w:rPr>
        <w:t>按照绩效处要求，公开项目概况、评价过程及绩效分析、存在问题和有关建议。</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201</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sz w:val="32"/>
          <w:szCs w:val="32"/>
          <w:highlight w:val="none"/>
        </w:rPr>
        <w:t>三明市计划生育药具管理站共设置绩效目标</w:t>
      </w: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sz w:val="32"/>
          <w:szCs w:val="32"/>
          <w:highlight w:val="none"/>
        </w:rPr>
        <w:t>个，涉及财政拨款资金</w:t>
      </w:r>
      <w:r>
        <w:rPr>
          <w:rFonts w:hint="eastAsia" w:ascii="仿宋_GB2312" w:hAnsi="仿宋_GB2312" w:eastAsia="仿宋_GB2312" w:cs="仿宋_GB2312"/>
          <w:kern w:val="0"/>
          <w:sz w:val="32"/>
          <w:szCs w:val="32"/>
          <w:highlight w:val="none"/>
        </w:rPr>
        <w:t>0.50万元。</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（一）项目概况</w:t>
      </w:r>
    </w:p>
    <w:p>
      <w:pPr>
        <w:spacing w:line="600" w:lineRule="exact"/>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2017年我市计划生育药具工作总体要求是：深入学习贯彻党的十八大、十八届五中、六中全会精神和习近平总书记系列重要讲话精神，全面贯彻落实全国卫生和健康大会、全省卫生计生会议精神，按照福建省卫生计生委的部署要求，紧紧围绕“人口均衡稳定发展、居民健康水平稳步提高”的目标，不断创新药具体制机制改革，扎实推进药具服务管理各项工作顺利开展</w:t>
      </w:r>
      <w:r>
        <w:rPr>
          <w:rFonts w:hint="eastAsia" w:ascii="仿宋_GB2312" w:hAnsi="仿宋_GB2312" w:eastAsia="仿宋_GB2312" w:cs="仿宋_GB2312"/>
          <w:kern w:val="0"/>
          <w:sz w:val="32"/>
          <w:szCs w:val="32"/>
          <w:highlight w:val="none"/>
          <w:lang w:eastAsia="zh-CN"/>
        </w:rPr>
        <w:t>。</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计生宣传经费项目严格按照专款专用的原则，按照年初既定计划有序进行，因宣传节点较集中问题，采取多种宣传方式补充宣传场次的不足，以期达到目的宣传效果。严格执行国家财政规定的各项规章制度，遵守财经纪律，严格按照国家规定的开支范围和开支标准执行。</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2017年度计生宣传经费项目支出预算安排　0.5　万元，总投入　0.5　万元，资金到位　0.5　万元，实际使用　　0.5万元，项目资金到位率　100　%，支出实现率100%，资金使用合法合规。</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（二）</w:t>
      </w:r>
      <w:r>
        <w:rPr>
          <w:rFonts w:hint="eastAsia" w:ascii="仿宋_GB2312" w:hAnsi="仿宋_GB2312" w:eastAsia="仿宋_GB2312" w:cs="仿宋_GB2312"/>
          <w:kern w:val="0"/>
          <w:sz w:val="32"/>
          <w:szCs w:val="32"/>
          <w:highlight w:val="none"/>
        </w:rPr>
        <w:t>项目绩效分析</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项目绩效评价工作开展情况</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为了评价2017年市计划生育药具管理站业务费资金使用情况，提高财政资金使用绩效，根据《三明市财政局关于印发三明市财政支出绩效评价管理办法的通知》（明财绩〔2015〕2号），成立了项目绩效自评小组。自评内容包括项目的绩效目标设定情况，项目资金投入、过程、产出与效益情况。根据绩效评价方案，评价采取现场评价和非现场评价相结合的方式，即：采用现场核验、查看内业等方法获取被评价项目的有关基本情况资料，采集和核实绩效评价所需要的基础数据资料，并在对相关资料进行汇总复核、分类整理和综合分析的基础上，按照设立的评价指标、标准、权数、方法及程序实施评价，形成自评报告。</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项目绩效目标完成情况</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经评价核验，2017年计生宣传经费年度绩效目标全部完成，部分指标超额完成。具体如下：</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结合“7.11”世界人口日主题宣传活动，开展免费避孕药具宣传活动。2、利用“9.26”世界避孕日，与沙县共同开展主题宣传活动，发放宣传册1仟余份。3、开通“三明免费避孕药具”微信官方公众号并构建前期框架。2017年完成全年目标任务，目标完成率达100%。</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（三）</w:t>
      </w:r>
      <w:r>
        <w:rPr>
          <w:rFonts w:hint="eastAsia" w:ascii="仿宋_GB2312" w:hAnsi="仿宋_GB2312" w:eastAsia="仿宋_GB2312" w:cs="仿宋_GB2312"/>
          <w:kern w:val="0"/>
          <w:sz w:val="32"/>
          <w:szCs w:val="32"/>
          <w:highlight w:val="none"/>
        </w:rPr>
        <w:t>存在问题</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项目实施进度方面。因为计生宣传节点较为集中，通常在下半年，所以项目实施进度较慢。</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项目组织管理方面。管理制度还具有局限性，对资金使用是否合规存在一定的困惑。</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产出和效益方面。一年来基本完成绩效目标，因主观能动性不强，主动作为意识不足，导致绩效目标未全面完成。单开展上街宣传的实施效果欠缺，满意度有待改善。</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（四）</w:t>
      </w:r>
      <w:r>
        <w:rPr>
          <w:rFonts w:hint="eastAsia" w:ascii="仿宋_GB2312" w:hAnsi="仿宋_GB2312" w:eastAsia="仿宋_GB2312" w:cs="仿宋_GB2312"/>
          <w:kern w:val="0"/>
          <w:sz w:val="32"/>
          <w:szCs w:val="32"/>
          <w:highlight w:val="none"/>
        </w:rPr>
        <w:t>有关建议</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根据国卫计药字【2016】29号《关于开展“互联网+药具发放服务”推广应用工作的通知》精神，“互联网+”是创新政府服务模式，提供并提升公共服务水平的重要手段。近年来，各地计划生育药具管理部门积极探索将互联网技术应用于药具发放服务，积累了一定的工作经验，为进一步利用信息化技术改进药具发放服务，奠定了良好的工作基础。实践表明，充分运用“互联网+”技术，对于改革和创新计划生育药具发放服务模式，提高服务和管理水平，具有十分重要的促进作用。开展“互联网+药具发放服务”推广应用工作，是加强和改进药具发放服务工作，不断提高药具服务可及性和群众满意度的有力措施；是改革完善计划生育药具服务管理，积极推动健康中国建设的重要工作任务。</w:t>
      </w:r>
    </w:p>
    <w:p>
      <w:pPr>
        <w:spacing w:line="60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我站计划于2018年度全面启动“互联网+药具发放”新模式，主要通过建立官方微信公众号，让广大育龄群众从微信上支付邮费即可免费领取定额的避孕药具，该项目论证时间较长，涉及面较广，技术方面需要支撑，经费方面比较紧张，能够适当增加绩效目标额度，确保该项工作扎实有序开展，取得实效。</w:t>
      </w:r>
    </w:p>
    <w:p>
      <w:pPr>
        <w:spacing w:line="600" w:lineRule="exact"/>
        <w:ind w:firstLine="640" w:firstLineChars="200"/>
        <w:jc w:val="left"/>
        <w:rPr>
          <w:rFonts w:hint="eastAsia" w:ascii="仿宋_GB2312" w:hAnsi="仿宋_GB2312" w:eastAsia="仿宋_GB2312" w:cs="仿宋_GB2312"/>
          <w:kern w:val="0"/>
          <w:sz w:val="32"/>
          <w:szCs w:val="32"/>
          <w:highlight w:val="none"/>
        </w:rPr>
      </w:pP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jc w:val="left"/>
        <w:rPr>
          <w:highlight w:val="none"/>
        </w:rPr>
      </w:pPr>
      <w:r>
        <w:rPr>
          <w:rFonts w:hint="eastAsia" w:ascii="仿宋" w:hAnsi="仿宋" w:eastAsia="仿宋" w:cs="仿宋_GB2312"/>
          <w:bCs/>
          <w:kern w:val="0"/>
          <w:sz w:val="32"/>
          <w:szCs w:val="32"/>
          <w:highlight w:val="none"/>
          <w:lang w:val="en-US" w:eastAsia="zh-CN" w:bidi="ar"/>
        </w:rPr>
        <w:br w:type="textWrapping"/>
      </w:r>
      <w:r>
        <w:rPr>
          <w:rFonts w:hint="eastAsia" w:ascii="黑体" w:eastAsia="黑体" w:cs="仿宋_GB2312" w:hAnsiTheme="minorHAnsi"/>
          <w:kern w:val="0"/>
          <w:sz w:val="32"/>
          <w:szCs w:val="32"/>
          <w:highlight w:val="none"/>
          <w:lang w:val="en-US" w:eastAsia="zh-CN" w:bidi="ar"/>
        </w:rPr>
        <w:t xml:space="preserve">    十、名词解释</w:t>
      </w:r>
    </w:p>
    <w:p>
      <w:pPr>
        <w:keepNext w:val="0"/>
        <w:keepLines w:val="0"/>
        <w:widowControl/>
        <w:suppressLineNumbers w:val="0"/>
        <w:spacing w:before="0" w:beforeAutospacing="1" w:after="0" w:afterAutospacing="1" w:line="600" w:lineRule="exact"/>
        <w:ind w:left="0" w:right="0" w:firstLine="707" w:firstLineChars="221"/>
        <w:jc w:val="left"/>
        <w:rPr>
          <w:highlight w:val="none"/>
        </w:rPr>
      </w:pPr>
      <w:r>
        <w:rPr>
          <w:rFonts w:hint="eastAsia" w:ascii="仿宋" w:hAnsi="仿宋" w:eastAsia="仿宋" w:cs="仿宋"/>
          <w:color w:val="000000"/>
          <w:kern w:val="0"/>
          <w:sz w:val="32"/>
          <w:szCs w:val="32"/>
          <w:highlight w:val="none"/>
          <w:lang w:val="en-US" w:eastAsia="zh-CN" w:bidi="ar"/>
        </w:rPr>
        <w:t xml:space="preserve">（一）财政拨款收入：指省级财政当年拨付的资金。 </w:t>
      </w:r>
    </w:p>
    <w:p>
      <w:pPr>
        <w:keepNext w:val="0"/>
        <w:keepLines w:val="0"/>
        <w:widowControl/>
        <w:suppressLineNumbers w:val="0"/>
        <w:spacing w:before="0" w:beforeAutospacing="1" w:after="0" w:afterAutospacing="1" w:line="600" w:lineRule="exact"/>
        <w:ind w:left="0" w:right="0" w:firstLine="707" w:firstLineChars="221"/>
        <w:jc w:val="left"/>
        <w:rPr>
          <w:highlight w:val="none"/>
        </w:rPr>
      </w:pPr>
      <w:r>
        <w:rPr>
          <w:rFonts w:hint="eastAsia" w:ascii="仿宋" w:hAnsi="仿宋" w:eastAsia="仿宋" w:cs="仿宋"/>
          <w:color w:val="000000"/>
          <w:kern w:val="0"/>
          <w:sz w:val="32"/>
          <w:szCs w:val="32"/>
          <w:highlight w:val="none"/>
          <w:lang w:val="en-US" w:eastAsia="zh-CN" w:bidi="ar"/>
        </w:rPr>
        <w:t>（二）事业收入：指事业单位开展专业业务活动及辅助活动所取得的收入。</w:t>
      </w:r>
    </w:p>
    <w:p>
      <w:pPr>
        <w:keepNext w:val="0"/>
        <w:keepLines w:val="0"/>
        <w:widowControl/>
        <w:suppressLineNumbers w:val="0"/>
        <w:spacing w:before="0" w:beforeAutospacing="1" w:after="0" w:afterAutospacing="1" w:line="600" w:lineRule="exact"/>
        <w:ind w:left="0" w:right="0" w:firstLine="707" w:firstLineChars="221"/>
        <w:jc w:val="left"/>
        <w:rPr>
          <w:highlight w:val="none"/>
        </w:rPr>
      </w:pPr>
      <w:r>
        <w:rPr>
          <w:rFonts w:hint="eastAsia" w:ascii="仿宋" w:hAnsi="仿宋" w:eastAsia="仿宋" w:cs="仿宋"/>
          <w:color w:val="000000"/>
          <w:kern w:val="0"/>
          <w:sz w:val="32"/>
          <w:szCs w:val="32"/>
          <w:highlight w:val="none"/>
          <w:lang w:val="en-US" w:eastAsia="zh-CN" w:bidi="ar"/>
        </w:rPr>
        <w:t xml:space="preserve">（三）经营收入：指事业单位在专业业务活动及其辅助活动之外开展非独立核算经营活动取得的收入。 </w:t>
      </w:r>
    </w:p>
    <w:p>
      <w:pPr>
        <w:keepNext w:val="0"/>
        <w:keepLines w:val="0"/>
        <w:widowControl/>
        <w:suppressLineNumbers w:val="0"/>
        <w:spacing w:before="0" w:beforeAutospacing="1" w:after="0" w:afterAutospacing="1" w:line="600" w:lineRule="exact"/>
        <w:ind w:left="0" w:right="0" w:firstLine="707" w:firstLineChars="221"/>
        <w:jc w:val="left"/>
        <w:rPr>
          <w:highlight w:val="none"/>
        </w:rPr>
      </w:pPr>
      <w:r>
        <w:rPr>
          <w:rFonts w:hint="eastAsia" w:ascii="仿宋" w:hAnsi="仿宋" w:eastAsia="仿宋" w:cs="仿宋"/>
          <w:color w:val="000000"/>
          <w:kern w:val="0"/>
          <w:sz w:val="32"/>
          <w:szCs w:val="32"/>
          <w:highlight w:val="none"/>
          <w:lang w:val="en-US" w:eastAsia="zh-CN" w:bidi="ar"/>
        </w:rPr>
        <w:t xml:space="preserve">（四）其他收入：指除上述“财政拨款收入”、“事业收入”、“经营收入”等以外的收入。主要是按规定动用的售房收入、存款利息收入等。 </w:t>
      </w:r>
    </w:p>
    <w:p>
      <w:pPr>
        <w:keepNext w:val="0"/>
        <w:keepLines w:val="0"/>
        <w:widowControl/>
        <w:suppressLineNumbers w:val="0"/>
        <w:spacing w:before="0" w:beforeAutospacing="1" w:after="0" w:afterAutospacing="1" w:line="600" w:lineRule="exact"/>
        <w:ind w:left="0" w:right="0" w:firstLine="707" w:firstLineChars="221"/>
        <w:jc w:val="left"/>
        <w:rPr>
          <w:highlight w:val="none"/>
        </w:rPr>
      </w:pPr>
      <w:r>
        <w:rPr>
          <w:rFonts w:hint="eastAsia" w:ascii="仿宋" w:hAnsi="仿宋" w:eastAsia="仿宋" w:cs="仿宋"/>
          <w:color w:val="000000"/>
          <w:kern w:val="0"/>
          <w:sz w:val="32"/>
          <w:szCs w:val="32"/>
          <w:highlight w:val="none"/>
          <w:lang w:val="en-US" w:eastAsia="zh-CN" w:bidi="ar"/>
        </w:rPr>
        <w:t xml:space="preserve">（五）用事业基金弥补收支差额：指事业单位在当年的“财政拨款收入”、“事业收入”、“经营收入”、“其他 收入”不足以安排当年支出的情况下，使用以前年度积累的事业基金（事业单位当年收支相抵后按国家规定提取、用于弥补以后年度收支差额的基金）弥补本年度收 支缺口的资金。 </w:t>
      </w:r>
    </w:p>
    <w:p>
      <w:pPr>
        <w:keepNext w:val="0"/>
        <w:keepLines w:val="0"/>
        <w:widowControl/>
        <w:suppressLineNumbers w:val="0"/>
        <w:spacing w:before="0" w:beforeAutospacing="1" w:after="0" w:afterAutospacing="1" w:line="600" w:lineRule="exact"/>
        <w:ind w:left="0" w:right="0" w:firstLine="707" w:firstLineChars="221"/>
        <w:jc w:val="left"/>
        <w:rPr>
          <w:highlight w:val="none"/>
        </w:rPr>
      </w:pPr>
      <w:r>
        <w:rPr>
          <w:rFonts w:hint="eastAsia" w:ascii="仿宋" w:hAnsi="仿宋" w:eastAsia="仿宋" w:cs="仿宋"/>
          <w:color w:val="000000"/>
          <w:kern w:val="0"/>
          <w:sz w:val="32"/>
          <w:szCs w:val="32"/>
          <w:highlight w:val="none"/>
          <w:lang w:val="en-US" w:eastAsia="zh-CN" w:bidi="ar"/>
        </w:rPr>
        <w:t>（六）年初结转和结余：指以前年度尚未完成、结转到本年 按有关规定继续使用的资金。</w:t>
      </w:r>
    </w:p>
    <w:p>
      <w:pPr>
        <w:keepNext w:val="0"/>
        <w:keepLines w:val="0"/>
        <w:widowControl/>
        <w:suppressLineNumbers w:val="0"/>
        <w:spacing w:before="0" w:beforeAutospacing="1" w:after="0" w:afterAutospacing="1" w:line="600" w:lineRule="exact"/>
        <w:ind w:left="0" w:right="0" w:firstLine="640"/>
        <w:jc w:val="left"/>
        <w:rPr>
          <w:highlight w:val="none"/>
        </w:rPr>
      </w:pPr>
      <w:r>
        <w:rPr>
          <w:rFonts w:hint="eastAsia" w:ascii="仿宋" w:hAnsi="仿宋" w:eastAsia="仿宋" w:cs="宋体"/>
          <w:kern w:val="0"/>
          <w:sz w:val="32"/>
          <w:szCs w:val="32"/>
          <w:highlight w:val="none"/>
          <w:lang w:val="en-US" w:eastAsia="zh-CN" w:bidi="ar"/>
        </w:rPr>
        <w:t xml:space="preserve">（七）结余分配：指事业单位按规定提取的职工福利基金、事业基金和缴纳的所得税，以及建设单位按规定应交回的基本建设竣工项目结余资金。 </w:t>
      </w:r>
    </w:p>
    <w:p>
      <w:pPr>
        <w:keepNext w:val="0"/>
        <w:keepLines w:val="0"/>
        <w:widowControl/>
        <w:suppressLineNumbers w:val="0"/>
        <w:spacing w:before="0" w:beforeAutospacing="1" w:after="0" w:afterAutospacing="1" w:line="600" w:lineRule="exact"/>
        <w:ind w:left="0" w:right="0" w:firstLine="640"/>
        <w:jc w:val="left"/>
        <w:rPr>
          <w:highlight w:val="none"/>
        </w:rPr>
      </w:pPr>
      <w:r>
        <w:rPr>
          <w:rFonts w:hint="eastAsia" w:ascii="仿宋" w:hAnsi="仿宋" w:eastAsia="仿宋" w:cs="宋体"/>
          <w:kern w:val="0"/>
          <w:sz w:val="32"/>
          <w:szCs w:val="32"/>
          <w:highlight w:val="none"/>
          <w:lang w:val="en-US" w:eastAsia="zh-CN" w:bidi="ar"/>
        </w:rPr>
        <w:t xml:space="preserve">（八）年末结转和结余：指本年度或以前年度预算安排、因客观条件发生变化无法按原计划实施，需延迟到以后年度按有关规定继续使用的资金。 </w:t>
      </w:r>
    </w:p>
    <w:p>
      <w:pPr>
        <w:keepNext w:val="0"/>
        <w:keepLines w:val="0"/>
        <w:widowControl/>
        <w:suppressLineNumbers w:val="0"/>
        <w:spacing w:before="0" w:beforeAutospacing="1" w:after="0" w:afterAutospacing="1" w:line="600" w:lineRule="exact"/>
        <w:ind w:left="0" w:right="0" w:firstLine="640"/>
        <w:jc w:val="left"/>
        <w:rPr>
          <w:highlight w:val="none"/>
        </w:rPr>
      </w:pPr>
      <w:r>
        <w:rPr>
          <w:rFonts w:hint="eastAsia" w:ascii="仿宋" w:hAnsi="仿宋" w:eastAsia="仿宋" w:cs="宋体"/>
          <w:kern w:val="0"/>
          <w:sz w:val="32"/>
          <w:szCs w:val="32"/>
          <w:highlight w:val="none"/>
          <w:lang w:val="en-US" w:eastAsia="zh-CN" w:bidi="ar"/>
        </w:rPr>
        <w:t xml:space="preserve">（九）基本支出：指为保障机构正常运转、完成日常工作任务而发生的人员支出和公用支出。 </w:t>
      </w:r>
    </w:p>
    <w:p>
      <w:pPr>
        <w:keepNext w:val="0"/>
        <w:keepLines w:val="0"/>
        <w:widowControl/>
        <w:suppressLineNumbers w:val="0"/>
        <w:spacing w:before="0" w:beforeAutospacing="1" w:after="0" w:afterAutospacing="1" w:line="600" w:lineRule="exact"/>
        <w:ind w:left="0" w:right="0" w:firstLine="640"/>
        <w:jc w:val="left"/>
        <w:rPr>
          <w:highlight w:val="none"/>
        </w:rPr>
      </w:pPr>
      <w:r>
        <w:rPr>
          <w:rFonts w:hint="eastAsia" w:ascii="仿宋" w:hAnsi="仿宋" w:eastAsia="仿宋" w:cs="宋体"/>
          <w:kern w:val="0"/>
          <w:sz w:val="32"/>
          <w:szCs w:val="32"/>
          <w:highlight w:val="none"/>
          <w:lang w:val="en-US" w:eastAsia="zh-CN" w:bidi="ar"/>
        </w:rPr>
        <w:t xml:space="preserve">（十）项目支出：指在基本支出之外为完成特定行政任务和事业发展目标所发生的支出。 </w:t>
      </w:r>
    </w:p>
    <w:p>
      <w:pPr>
        <w:keepNext w:val="0"/>
        <w:keepLines w:val="0"/>
        <w:widowControl/>
        <w:suppressLineNumbers w:val="0"/>
        <w:spacing w:before="0" w:beforeAutospacing="1" w:after="0" w:afterAutospacing="1" w:line="600" w:lineRule="exact"/>
        <w:ind w:left="0" w:right="0" w:firstLine="640"/>
        <w:jc w:val="left"/>
        <w:rPr>
          <w:highlight w:val="none"/>
        </w:rPr>
      </w:pPr>
      <w:r>
        <w:rPr>
          <w:rFonts w:hint="eastAsia" w:ascii="仿宋" w:hAnsi="仿宋" w:eastAsia="仿宋" w:cs="宋体"/>
          <w:kern w:val="0"/>
          <w:sz w:val="32"/>
          <w:szCs w:val="32"/>
          <w:highlight w:val="none"/>
          <w:lang w:val="en-US" w:eastAsia="zh-CN" w:bidi="ar"/>
        </w:rPr>
        <w:t xml:space="preserve">（十一）经营支出：指事业单位在专业业务活动及其辅助活动之外开展非独立核算经营活动发生的支出。 </w:t>
      </w:r>
    </w:p>
    <w:p>
      <w:pPr>
        <w:keepNext w:val="0"/>
        <w:keepLines w:val="0"/>
        <w:widowControl/>
        <w:suppressLineNumbers w:val="0"/>
        <w:spacing w:before="0" w:beforeAutospacing="1" w:after="0" w:afterAutospacing="1" w:line="600" w:lineRule="exact"/>
        <w:ind w:left="0" w:right="0" w:firstLine="640"/>
        <w:jc w:val="left"/>
        <w:rPr>
          <w:highlight w:val="none"/>
        </w:rPr>
      </w:pPr>
      <w:r>
        <w:rPr>
          <w:rFonts w:hint="eastAsia" w:ascii="仿宋" w:hAnsi="仿宋" w:eastAsia="仿宋" w:cs="宋体"/>
          <w:kern w:val="0"/>
          <w:sz w:val="32"/>
          <w:szCs w:val="32"/>
          <w:highlight w:val="none"/>
          <w:lang w:val="en-US" w:eastAsia="zh-CN" w:bidi="ar"/>
        </w:rPr>
        <w:t>（十二）“三公”经费：纳入省级财政预决算管理的 “三公”经费，是指省级部门用财政拨款安排的因公出国（境）费、公务用车购置及运行费和公务接待费。其中，因公出国（境）费反映单位公务出国（境）的国际 旅费、国外城市间交通费、住宿费、伙食费、培训费、公杂费等支出；公务用车购置及运行费反映单位公务用车车辆购置支出（含车辆购置税）及租用费、燃料费、 维修费、过路过桥费、保险费、安全奖励费用等支出；公务接待费反映单位按规定开支的各类公务接待（含外宾接待）支出。</w:t>
      </w:r>
      <w:r>
        <w:rPr>
          <w:rFonts w:hint="eastAsia" w:ascii="宋体" w:hAnsi="仿宋" w:eastAsia="宋体" w:cs="宋体"/>
          <w:kern w:val="0"/>
          <w:sz w:val="32"/>
          <w:szCs w:val="32"/>
          <w:highlight w:val="none"/>
          <w:lang w:val="en-US" w:eastAsia="zh-CN" w:bidi="ar"/>
        </w:rPr>
        <w:t xml:space="preserve"> </w:t>
      </w:r>
    </w:p>
    <w:p>
      <w:pPr>
        <w:keepNext w:val="0"/>
        <w:keepLines w:val="0"/>
        <w:widowControl/>
        <w:suppressLineNumbers w:val="0"/>
        <w:spacing w:before="0" w:beforeAutospacing="1" w:after="0" w:afterAutospacing="1" w:line="600" w:lineRule="exact"/>
        <w:ind w:left="0" w:right="0" w:firstLine="640" w:firstLineChars="200"/>
        <w:jc w:val="left"/>
        <w:rPr>
          <w:highlight w:val="none"/>
        </w:rPr>
      </w:pPr>
      <w:r>
        <w:rPr>
          <w:rFonts w:hint="eastAsia" w:ascii="仿宋" w:hAnsi="仿宋" w:eastAsia="仿宋" w:cs="宋体"/>
          <w:kern w:val="0"/>
          <w:sz w:val="32"/>
          <w:szCs w:val="32"/>
          <w:highlight w:val="none"/>
          <w:lang w:val="en-US" w:eastAsia="zh-CN" w:bidi="ar"/>
        </w:rPr>
        <w:t>（十三）机关运行经费：为保障行政单位（含参照公务员法管理的事业单位）运行用于购买货物和服务的各项资金，包括办公及印刷费、邮电费、差旅 费、会议费、福利费、日常维修费、专用材料及一般设备购置费、办公用房水电费、办公用房取暖费、办公用房物业管理费、公务用车运行维护费以及其他费用。</w:t>
      </w:r>
    </w:p>
    <w:p>
      <w:pPr>
        <w:keepNext w:val="0"/>
        <w:keepLines w:val="0"/>
        <w:widowControl/>
        <w:suppressLineNumbers w:val="0"/>
        <w:spacing w:before="0" w:beforeAutospacing="1" w:after="0" w:afterAutospacing="1" w:line="600" w:lineRule="exact"/>
        <w:ind w:left="0" w:right="0" w:firstLine="480" w:firstLineChars="200"/>
        <w:jc w:val="left"/>
        <w:rPr>
          <w:highlight w:val="none"/>
        </w:rPr>
      </w:pPr>
      <w:r>
        <w:rPr>
          <w:rFonts w:asciiTheme="minorHAnsi" w:hAnsiTheme="minorHAnsi" w:eastAsiaTheme="minorEastAsia" w:cstheme="minorBidi"/>
          <w:kern w:val="0"/>
          <w:sz w:val="24"/>
          <w:szCs w:val="24"/>
          <w:highlight w:val="none"/>
          <w:lang w:val="en-US" w:eastAsia="zh-CN" w:bidi="ar"/>
        </w:rPr>
        <w:t> </w:t>
      </w:r>
    </w:p>
    <w:p>
      <w:pPr>
        <w:keepNext w:val="0"/>
        <w:keepLines w:val="0"/>
        <w:widowControl/>
        <w:suppressLineNumbers w:val="0"/>
        <w:spacing w:before="0" w:beforeAutospacing="1" w:after="0" w:afterAutospacing="1" w:line="600" w:lineRule="exact"/>
        <w:ind w:left="0" w:right="0" w:firstLine="584" w:firstLineChars="200"/>
        <w:jc w:val="left"/>
        <w:rPr>
          <w:highlight w:val="none"/>
        </w:rPr>
      </w:pPr>
      <w:r>
        <w:rPr>
          <w:rFonts w:hint="eastAsia" w:ascii="仿宋" w:hAnsi="仿宋" w:eastAsia="仿宋" w:cs="宋体"/>
          <w:spacing w:val="-14"/>
          <w:kern w:val="0"/>
          <w:sz w:val="32"/>
          <w:szCs w:val="32"/>
          <w:highlight w:val="none"/>
          <w:lang w:val="en-US" w:eastAsia="zh-CN" w:bidi="ar"/>
        </w:rPr>
        <w:t>附表：1-1 2017年度收支决算总表</w:t>
      </w:r>
    </w:p>
    <w:p>
      <w:pPr>
        <w:keepNext w:val="0"/>
        <w:keepLines w:val="0"/>
        <w:widowControl/>
        <w:suppressLineNumbers w:val="0"/>
        <w:spacing w:before="0" w:beforeAutospacing="1" w:after="0" w:afterAutospacing="1" w:line="600" w:lineRule="exact"/>
        <w:ind w:left="0" w:right="0" w:firstLine="1460" w:firstLineChars="500"/>
        <w:jc w:val="left"/>
        <w:rPr>
          <w:highlight w:val="none"/>
        </w:rPr>
      </w:pPr>
      <w:r>
        <w:rPr>
          <w:rFonts w:hint="eastAsia" w:ascii="仿宋" w:hAnsi="仿宋" w:eastAsia="仿宋" w:cs="宋体"/>
          <w:spacing w:val="-14"/>
          <w:kern w:val="0"/>
          <w:sz w:val="32"/>
          <w:szCs w:val="32"/>
          <w:highlight w:val="none"/>
          <w:lang w:val="en-US" w:eastAsia="zh-CN" w:bidi="ar"/>
        </w:rPr>
        <w:t>1-2 2017年度收入决算表</w:t>
      </w:r>
    </w:p>
    <w:p>
      <w:pPr>
        <w:keepNext w:val="0"/>
        <w:keepLines w:val="0"/>
        <w:widowControl/>
        <w:suppressLineNumbers w:val="0"/>
        <w:spacing w:before="0" w:beforeAutospacing="1" w:after="0" w:afterAutospacing="1" w:line="600" w:lineRule="exact"/>
        <w:ind w:left="0" w:right="0" w:firstLine="1460" w:firstLineChars="500"/>
        <w:jc w:val="left"/>
        <w:rPr>
          <w:highlight w:val="none"/>
        </w:rPr>
      </w:pPr>
      <w:r>
        <w:rPr>
          <w:rFonts w:hint="eastAsia" w:ascii="仿宋" w:hAnsi="仿宋" w:eastAsia="仿宋" w:cs="宋体"/>
          <w:spacing w:val="-14"/>
          <w:kern w:val="0"/>
          <w:sz w:val="32"/>
          <w:szCs w:val="32"/>
          <w:highlight w:val="none"/>
          <w:lang w:val="en-US" w:eastAsia="zh-CN" w:bidi="ar"/>
        </w:rPr>
        <w:t>1-3 2017年度支出决算表</w:t>
      </w:r>
    </w:p>
    <w:p>
      <w:pPr>
        <w:keepNext w:val="0"/>
        <w:keepLines w:val="0"/>
        <w:widowControl/>
        <w:suppressLineNumbers w:val="0"/>
        <w:spacing w:before="0" w:beforeAutospacing="1" w:after="0" w:afterAutospacing="1" w:line="600" w:lineRule="exact"/>
        <w:ind w:left="0" w:right="0" w:firstLine="1460" w:firstLineChars="500"/>
        <w:jc w:val="left"/>
        <w:rPr>
          <w:highlight w:val="none"/>
        </w:rPr>
      </w:pPr>
      <w:r>
        <w:rPr>
          <w:rFonts w:hint="eastAsia" w:ascii="仿宋" w:hAnsi="仿宋" w:eastAsia="仿宋" w:cs="宋体"/>
          <w:spacing w:val="-14"/>
          <w:kern w:val="0"/>
          <w:sz w:val="32"/>
          <w:szCs w:val="32"/>
          <w:highlight w:val="none"/>
          <w:lang w:val="en-US" w:eastAsia="zh-CN" w:bidi="ar"/>
        </w:rPr>
        <w:t>1-4 2017年度财政拨款收支决算总表</w:t>
      </w:r>
    </w:p>
    <w:p>
      <w:pPr>
        <w:keepNext w:val="0"/>
        <w:keepLines w:val="0"/>
        <w:widowControl/>
        <w:suppressLineNumbers w:val="0"/>
        <w:spacing w:before="0" w:beforeAutospacing="1" w:after="0" w:afterAutospacing="1" w:line="600" w:lineRule="exact"/>
        <w:ind w:left="0" w:right="0" w:firstLine="1460" w:firstLineChars="500"/>
        <w:jc w:val="left"/>
        <w:rPr>
          <w:highlight w:val="none"/>
        </w:rPr>
      </w:pPr>
      <w:r>
        <w:rPr>
          <w:rFonts w:hint="eastAsia" w:ascii="仿宋" w:hAnsi="仿宋" w:eastAsia="仿宋" w:cs="宋体"/>
          <w:spacing w:val="-14"/>
          <w:kern w:val="0"/>
          <w:sz w:val="32"/>
          <w:szCs w:val="32"/>
          <w:highlight w:val="none"/>
          <w:lang w:val="en-US" w:eastAsia="zh-CN" w:bidi="ar"/>
        </w:rPr>
        <w:t>1-5 2017年度一般公共财政拨款支出决算表</w:t>
      </w:r>
    </w:p>
    <w:p>
      <w:pPr>
        <w:keepNext w:val="0"/>
        <w:keepLines w:val="0"/>
        <w:widowControl/>
        <w:suppressLineNumbers w:val="0"/>
        <w:spacing w:before="0" w:beforeAutospacing="1" w:after="0" w:afterAutospacing="1" w:line="600" w:lineRule="exact"/>
        <w:ind w:left="0" w:right="0" w:firstLine="1460" w:firstLineChars="500"/>
        <w:jc w:val="left"/>
        <w:rPr>
          <w:highlight w:val="none"/>
        </w:rPr>
      </w:pPr>
      <w:r>
        <w:rPr>
          <w:rFonts w:hint="eastAsia" w:ascii="仿宋" w:hAnsi="仿宋" w:eastAsia="仿宋" w:cs="宋体"/>
          <w:spacing w:val="-14"/>
          <w:kern w:val="0"/>
          <w:sz w:val="32"/>
          <w:szCs w:val="32"/>
          <w:highlight w:val="none"/>
          <w:lang w:val="en-US" w:eastAsia="zh-CN" w:bidi="ar"/>
        </w:rPr>
        <w:t>1-6 2017年度一般公共预算支出经济分类决算情况表</w:t>
      </w:r>
    </w:p>
    <w:p>
      <w:pPr>
        <w:keepNext w:val="0"/>
        <w:keepLines w:val="0"/>
        <w:widowControl/>
        <w:suppressLineNumbers w:val="0"/>
        <w:spacing w:before="0" w:beforeAutospacing="1" w:after="0" w:afterAutospacing="1" w:line="600" w:lineRule="exact"/>
        <w:ind w:left="0" w:right="0" w:firstLine="1496" w:firstLineChars="550"/>
        <w:jc w:val="left"/>
        <w:rPr>
          <w:highlight w:val="none"/>
        </w:rPr>
      </w:pPr>
      <w:r>
        <w:rPr>
          <w:rFonts w:hint="eastAsia" w:ascii="仿宋" w:hAnsi="仿宋" w:eastAsia="仿宋" w:cs="宋体"/>
          <w:spacing w:val="-24"/>
          <w:kern w:val="0"/>
          <w:sz w:val="32"/>
          <w:szCs w:val="32"/>
          <w:highlight w:val="none"/>
          <w:lang w:val="en-US" w:eastAsia="zh-CN" w:bidi="ar"/>
        </w:rPr>
        <w:t>1-7 2017年度一般公共预算基本支出经济分类决算情况表</w:t>
      </w:r>
    </w:p>
    <w:p>
      <w:pPr>
        <w:keepNext w:val="0"/>
        <w:keepLines w:val="0"/>
        <w:widowControl/>
        <w:suppressLineNumbers w:val="0"/>
        <w:spacing w:before="0" w:beforeAutospacing="1" w:after="0" w:afterAutospacing="1" w:line="600" w:lineRule="exact"/>
        <w:ind w:left="0" w:right="0" w:firstLine="1460" w:firstLineChars="500"/>
        <w:jc w:val="left"/>
        <w:rPr>
          <w:highlight w:val="none"/>
        </w:rPr>
      </w:pPr>
      <w:r>
        <w:rPr>
          <w:rFonts w:hint="eastAsia" w:ascii="仿宋" w:hAnsi="仿宋" w:eastAsia="仿宋" w:cs="宋体"/>
          <w:spacing w:val="-14"/>
          <w:kern w:val="0"/>
          <w:sz w:val="32"/>
          <w:szCs w:val="32"/>
          <w:highlight w:val="none"/>
          <w:lang w:val="en-US" w:eastAsia="zh-CN" w:bidi="ar"/>
        </w:rPr>
        <w:t>1-8 2017年度政府性基金支出决算表</w:t>
      </w:r>
    </w:p>
    <w:p>
      <w:pPr>
        <w:keepNext w:val="0"/>
        <w:keepLines w:val="0"/>
        <w:widowControl/>
        <w:suppressLineNumbers w:val="0"/>
        <w:spacing w:before="0" w:beforeAutospacing="1" w:after="0" w:afterAutospacing="1" w:line="600" w:lineRule="exact"/>
        <w:ind w:left="0" w:right="0" w:firstLine="1460" w:firstLineChars="500"/>
        <w:jc w:val="left"/>
        <w:rPr>
          <w:highlight w:val="none"/>
        </w:rPr>
      </w:pPr>
      <w:r>
        <w:rPr>
          <w:rFonts w:hint="eastAsia" w:ascii="仿宋" w:hAnsi="仿宋" w:eastAsia="仿宋" w:cs="宋体"/>
          <w:spacing w:val="-14"/>
          <w:kern w:val="0"/>
          <w:sz w:val="32"/>
          <w:szCs w:val="32"/>
          <w:highlight w:val="none"/>
          <w:lang w:val="en-US" w:eastAsia="zh-CN" w:bidi="ar"/>
        </w:rPr>
        <w:t>1-9 2017年度部门决算相关信息统计表</w:t>
      </w:r>
    </w:p>
    <w:p>
      <w:pPr>
        <w:keepNext w:val="0"/>
        <w:keepLines w:val="0"/>
        <w:widowControl/>
        <w:suppressLineNumbers w:val="0"/>
        <w:spacing w:before="0" w:beforeAutospacing="1" w:after="0" w:afterAutospacing="1" w:line="600" w:lineRule="exact"/>
        <w:ind w:left="0" w:right="0" w:firstLine="1460" w:firstLineChars="500"/>
        <w:jc w:val="left"/>
        <w:rPr>
          <w:highlight w:val="none"/>
        </w:rPr>
      </w:pPr>
      <w:r>
        <w:rPr>
          <w:rFonts w:hint="eastAsia" w:ascii="仿宋" w:hAnsi="仿宋" w:eastAsia="仿宋" w:cs="宋体"/>
          <w:spacing w:val="-14"/>
          <w:kern w:val="0"/>
          <w:sz w:val="32"/>
          <w:szCs w:val="32"/>
          <w:highlight w:val="none"/>
          <w:lang w:val="en-US" w:eastAsia="zh-CN" w:bidi="ar"/>
        </w:rPr>
        <w:t>1-10 2017年度政府采购情况表</w:t>
      </w:r>
    </w:p>
    <w:p>
      <w:pPr>
        <w:jc w:val="left"/>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66519"/>
    <w:rsid w:val="02BF0329"/>
    <w:rsid w:val="1415524C"/>
    <w:rsid w:val="19F31396"/>
    <w:rsid w:val="1C066519"/>
    <w:rsid w:val="3326265F"/>
    <w:rsid w:val="33DA4F5E"/>
    <w:rsid w:val="421B01BD"/>
    <w:rsid w:val="5ED70E47"/>
    <w:rsid w:val="60CF2186"/>
    <w:rsid w:val="6152515A"/>
    <w:rsid w:val="633D25D1"/>
    <w:rsid w:val="794A5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2018-07-20T03:20:00Z</dcterms:created>
  <dc:creator>Administrator</dc:creator>
  <cp:lastModifiedBy>郝</cp:lastModifiedBy>
  <dcterms:modified xsi:type="dcterms:W3CDTF">2018-07-27T00:34:12Z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