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附件2</w:t>
      </w: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国家级、省级、市级继教项目系统管理流程</w:t>
      </w:r>
    </w:p>
    <w:p>
      <w:pPr>
        <w:rPr>
          <w:rFonts w:hint="eastAsia" w:eastAsia="方正仿宋_GBK" w:cs="方正仿宋_GBK"/>
        </w:rPr>
      </w:pPr>
    </w:p>
    <w:p>
      <w:pPr>
        <w:ind w:firstLine="620" w:firstLineChars="200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一、举办前登记备案。登</w:t>
      </w:r>
      <w:r>
        <w:rPr>
          <w:rFonts w:hint="eastAsia" w:eastAsia="方正黑体_GBK" w:cs="方正黑体_GBK"/>
          <w:lang w:eastAsia="zh-CN"/>
        </w:rPr>
        <w:t>录</w:t>
      </w:r>
      <w:bookmarkStart w:id="0" w:name="_GoBack"/>
      <w:bookmarkEnd w:id="0"/>
      <w:r>
        <w:rPr>
          <w:rFonts w:hint="eastAsia" w:eastAsia="方正黑体_GBK" w:cs="方正黑体_GBK"/>
        </w:rPr>
        <w:t>系统网址：</w:t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</w:rPr>
        <w:t>首先打开浏览器，在浏览器地址栏中输入福建省继教管理平台网址http://220.160.53.27:18005   如下图：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705350" cy="2543175"/>
            <wp:effectExtent l="19050" t="0" r="0" b="0"/>
            <wp:docPr id="2" name="图片 20" descr="161840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16184085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</w:rPr>
        <w:t>输入您的用户名及密码，即可登录成功。</w:t>
      </w:r>
    </w:p>
    <w:p>
      <w:pPr>
        <w:numPr>
          <w:ilvl w:val="0"/>
          <w:numId w:val="1"/>
        </w:num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楷体_GBK" w:cs="方正楷体_GBK"/>
        </w:rPr>
        <w:t>进入“继教活动－项目管理”，</w:t>
      </w:r>
      <w:r>
        <w:rPr>
          <w:rFonts w:hint="eastAsia" w:eastAsia="方正仿宋_GBK" w:cs="方正仿宋_GBK"/>
        </w:rPr>
        <w:t>国家级和省级项目由省级卫生行政部门审批公布后，直接同步到举办方办班账号（即用哪个账号申报的项目，培训办班也要用此账号）。（注：举办方千万不要自己“添加”项目，只能在“继教活动－项目管理”中查找到项目，进行“维护课程信息”和“维护举办周期”。）</w:t>
      </w: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619750" cy="2609850"/>
            <wp:effectExtent l="19050" t="0" r="0" b="0"/>
            <wp:docPr id="1" name="图片 13" descr="16184461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1618446152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楷体_GBK" w:cs="方正楷体_GBK"/>
        </w:rPr>
        <w:t>（二）进入“省级项目申报系统”模块，</w:t>
      </w:r>
      <w:r>
        <w:rPr>
          <w:rFonts w:hint="eastAsia" w:eastAsia="方正仿宋_GBK" w:cs="方正仿宋_GBK"/>
        </w:rPr>
        <w:t>填写举办前登记，完成项目举办前登记备案。</w:t>
      </w: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648325" cy="1762125"/>
            <wp:effectExtent l="19050" t="0" r="9525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二、项目实施过程管理</w:t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</w:rPr>
        <w:t>培训考勤。项目举办前登记上报审批通过后，即可培训办班，利用二维码考勤或人脸识别进行考勤，必要时可以对培训班进行评价和培训考试。</w:t>
      </w:r>
    </w:p>
    <w:p>
      <w:pPr>
        <w:ind w:firstLine="620" w:firstLineChars="200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三、学分授予</w:t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楷体_GBK" w:cs="方正楷体_GBK"/>
        </w:rPr>
        <w:t>（一）点击“学分管理-项目参加者授分”，</w:t>
      </w:r>
      <w:r>
        <w:rPr>
          <w:rFonts w:hint="eastAsia" w:eastAsia="方正仿宋_GBK" w:cs="方正仿宋_GBK"/>
        </w:rPr>
        <w:t>找到要授分的项目，根据考勤记录进行初步授分。</w:t>
      </w:r>
    </w:p>
    <w:p>
      <w:pPr>
        <w:rPr>
          <w:rFonts w:hint="eastAsia" w:eastAsia="方正仿宋_GBK" w:cs="方正仿宋_GBK"/>
        </w:rPr>
      </w:pP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057775" cy="1962150"/>
            <wp:effectExtent l="19050" t="0" r="9525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left="620" w:left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  <w:b/>
          <w:bCs/>
        </w:rPr>
        <w:t>1.点击“授分”，</w:t>
      </w:r>
      <w:r>
        <w:rPr>
          <w:rFonts w:hint="eastAsia" w:eastAsia="方正仿宋_GBK" w:cs="方正仿宋_GBK"/>
        </w:rPr>
        <w:t>跳转至授分页面。</w:t>
      </w: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153025" cy="1866900"/>
            <wp:effectExtent l="19050" t="0" r="9525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eastAsia="仿宋" w:cs="仿宋"/>
          <w:spacing w:val="-11"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2.点击“考勤明细”，</w:t>
      </w:r>
      <w:r>
        <w:rPr>
          <w:rFonts w:hint="eastAsia" w:eastAsia="仿宋" w:cs="仿宋"/>
          <w:spacing w:val="-11"/>
          <w:sz w:val="32"/>
          <w:szCs w:val="32"/>
        </w:rPr>
        <w:t>可查看所有参会且考勤成功的人员明细。</w:t>
      </w:r>
    </w:p>
    <w:p>
      <w:pPr>
        <w:jc w:val="center"/>
        <w:rPr>
          <w:rFonts w:hint="eastAsia" w:eastAsia="方正仿宋_GBK" w:cs="方正仿宋_GBK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114925" cy="2152650"/>
            <wp:effectExtent l="19050" t="0" r="9525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22" w:firstLineChars="200"/>
        <w:rPr>
          <w:rFonts w:hint="eastAsia" w:eastAsia="方正仿宋_GBK" w:cs="方正仿宋_GBK"/>
          <w:spacing w:val="-6"/>
        </w:rPr>
      </w:pPr>
      <w:r>
        <w:rPr>
          <w:rFonts w:hint="eastAsia" w:eastAsia="方正仿宋_GBK" w:cs="方正仿宋_GBK"/>
          <w:b/>
          <w:bCs/>
        </w:rPr>
        <w:t>3.点击“考勤分析”，</w:t>
      </w:r>
      <w:r>
        <w:rPr>
          <w:rFonts w:hint="eastAsia" w:eastAsia="方正仿宋_GBK" w:cs="方正仿宋_GBK"/>
        </w:rPr>
        <w:t>设置刷卡周期（一般半天设置刷卡2次，即课前和课后，刷卡周期即为培训办班时扫二维码的时间段），点击考勤分析，</w:t>
      </w:r>
      <w:r>
        <w:rPr>
          <w:rFonts w:hint="eastAsia" w:eastAsia="方正仿宋_GBK" w:cs="方正仿宋_GBK"/>
          <w:spacing w:val="-6"/>
        </w:rPr>
        <w:t>在页面的下方，符合多个刷卡周期的人员将被分析出来。</w:t>
      </w:r>
    </w:p>
    <w:p>
      <w:pPr>
        <w:ind w:firstLine="640" w:firstLineChars="200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4886325" cy="2038350"/>
            <wp:effectExtent l="19050" t="0" r="9525" b="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22" w:firstLine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  <w:b/>
          <w:bCs/>
        </w:rPr>
        <w:t>4.点击“确定”，</w:t>
      </w:r>
      <w:r>
        <w:rPr>
          <w:rFonts w:hint="eastAsia" w:eastAsia="方正仿宋_GBK" w:cs="方正仿宋_GBK"/>
        </w:rPr>
        <w:t>符合条件的参会人员将进入有效人员名单，最后才给这些人员授予学分。</w:t>
      </w:r>
    </w:p>
    <w:p>
      <w:pPr>
        <w:ind w:firstLine="640" w:firstLineChars="200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4962525" cy="1771650"/>
            <wp:effectExtent l="19050" t="0" r="9525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楷体_GBK" w:cs="方正楷体_GBK"/>
        </w:rPr>
        <w:t>（二）授分后，</w:t>
      </w:r>
      <w:r>
        <w:rPr>
          <w:rFonts w:hint="eastAsia" w:eastAsia="方正仿宋_GBK" w:cs="方正仿宋_GBK"/>
        </w:rPr>
        <w:t>通过“统计查询-项目明细查询”，导出已授分人员名单。</w:t>
      </w:r>
    </w:p>
    <w:p>
      <w:pPr>
        <w:ind w:firstLine="640" w:firstLineChars="200"/>
        <w:rPr>
          <w:rFonts w:hint="eastAsia" w:eastAsia="方正仿宋_GBK" w:cs="方正仿宋_GBK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4933950" cy="2143125"/>
            <wp:effectExtent l="19050" t="0" r="0" b="0"/>
            <wp:docPr id="9" name="图片 1" descr="16184104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1618410410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楷体_GBK" w:cs="方正楷体_GBK"/>
        </w:rPr>
      </w:pP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楷体_GBK" w:cs="方正楷体_GBK"/>
        </w:rPr>
        <w:t>（三）填写“执行情况反馈”。</w:t>
      </w:r>
      <w:r>
        <w:rPr>
          <w:rFonts w:hint="eastAsia" w:eastAsia="方正仿宋_GBK" w:cs="方正仿宋_GBK"/>
        </w:rPr>
        <w:t>将导出的授分人员名单，上传到第3页；“执行情况反馈”第4页点“蓝框”后会自动对接授分人员名单。</w:t>
      </w:r>
    </w:p>
    <w:p>
      <w:pPr>
        <w:rPr>
          <w:rFonts w:hint="eastAsia" w:eastAsia="方正仿宋_GBK" w:cs="方正仿宋_GBK"/>
        </w:rPr>
      </w:pP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010150" cy="1390650"/>
            <wp:effectExtent l="19050" t="0" r="0" b="0"/>
            <wp:docPr id="1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仿宋" w:cs="仿宋"/>
          <w:sz w:val="32"/>
          <w:szCs w:val="32"/>
        </w:rPr>
      </w:pPr>
    </w:p>
    <w:p>
      <w:pPr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124450" cy="1238250"/>
            <wp:effectExtent l="19050" t="0" r="0" b="0"/>
            <wp:docPr id="11" name="图片 23" descr="16184059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 descr="1618405927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仿宋" w:cs="仿宋"/>
          <w:sz w:val="32"/>
          <w:szCs w:val="32"/>
        </w:rPr>
      </w:pPr>
    </w:p>
    <w:p>
      <w:pPr>
        <w:jc w:val="center"/>
        <w:rPr>
          <w:rFonts w:hint="eastAsia" w:eastAsia="方正仿宋_GBK" w:cs="方正仿宋_GBK"/>
        </w:rPr>
      </w:pPr>
      <w:r>
        <w:rPr>
          <w:rFonts w:hint="eastAsia"/>
        </w:rPr>
        <w:drawing>
          <wp:inline distT="0" distB="0" distL="0" distR="0">
            <wp:extent cx="5133975" cy="1666875"/>
            <wp:effectExtent l="19050" t="0" r="9525" b="0"/>
            <wp:docPr id="12" name="图片 24" descr="16184059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1618405975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eastAsia="方正黑体_GBK" w:cs="方正黑体_GBK"/>
        </w:rPr>
      </w:pPr>
      <w:r>
        <w:rPr>
          <w:rFonts w:hint="eastAsia" w:eastAsia="方正黑体_GBK" w:cs="方正黑体_GBK"/>
        </w:rPr>
        <w:t>四、项目总结</w:t>
      </w:r>
    </w:p>
    <w:p>
      <w:pPr>
        <w:ind w:firstLine="620" w:firstLineChars="200"/>
        <w:rPr>
          <w:rFonts w:hint="eastAsia" w:eastAsia="方正仿宋_GBK" w:cs="方正仿宋_GBK"/>
        </w:rPr>
      </w:pPr>
      <w:r>
        <w:rPr>
          <w:rFonts w:hint="eastAsia" w:eastAsia="方正仿宋_GBK" w:cs="方正仿宋_GBK"/>
        </w:rPr>
        <w:t>需在培训班结束后30个工作日内进入“省级项目申报系统”模块，按要求填写并上传项目执行情况反馈和相关材料，才可授予学分。国家级项目要同时登陆http://cmegsb.cma.org.cn填写上报执行情况反馈。</w:t>
      </w:r>
    </w:p>
    <w:p>
      <w:pPr>
        <w:jc w:val="center"/>
        <w:rPr>
          <w:rFonts w:hint="eastAsia" w:eastAsia="方正仿宋_GBK" w:cs="方正仿宋_GBK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076825" cy="1571625"/>
            <wp:effectExtent l="19050" t="0" r="9525" b="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方正仿宋_GBK" w:cs="方正仿宋_GBK"/>
        </w:rPr>
      </w:pPr>
      <w:r>
        <w:rPr>
          <w:rFonts w:hint="eastAsia" w:eastAsia="仿宋" w:cs="仿宋"/>
          <w:sz w:val="32"/>
          <w:szCs w:val="32"/>
        </w:rPr>
        <w:drawing>
          <wp:inline distT="0" distB="0" distL="0" distR="0">
            <wp:extent cx="5076825" cy="1571625"/>
            <wp:effectExtent l="19050" t="0" r="9525" b="0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_GBK" w:cs="方正仿宋_GBK"/>
        </w:rPr>
      </w:pPr>
    </w:p>
    <w:p>
      <w:pPr>
        <w:rPr>
          <w:rFonts w:hint="eastAsia" w:eastAsia="方正仿宋_GBK" w:cs="方正仿宋_GBK"/>
        </w:rPr>
      </w:pPr>
    </w:p>
    <w:p>
      <w:pPr>
        <w:rPr>
          <w:rFonts w:hint="eastAsia" w:eastAsia="方正仿宋_GBK" w:cs="方正仿宋_GBK"/>
        </w:rPr>
      </w:pPr>
    </w:p>
    <w:p>
      <w:pPr>
        <w:rPr>
          <w:rFonts w:hint="eastAsia" w:eastAsia="方正仿宋_GBK" w:cs="方正仿宋_GBK"/>
        </w:rPr>
      </w:pPr>
    </w:p>
    <w:p>
      <w:pPr>
        <w:rPr>
          <w:rFonts w:hint="eastAsia" w:eastAsia="方正仿宋_GBK" w:cs="方正仿宋_GBK"/>
        </w:rPr>
      </w:pPr>
    </w:p>
    <w:p/>
    <w:sectPr>
      <w:pgSz w:w="11906" w:h="16838"/>
      <w:pgMar w:top="1985" w:right="1531" w:bottom="1871" w:left="1531" w:header="851" w:footer="1588" w:gutter="0"/>
      <w:cols w:space="720" w:num="1"/>
      <w:titlePg/>
      <w:docGrid w:type="line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7A5C"/>
    <w:multiLevelType w:val="singleLevel"/>
    <w:tmpl w:val="67F97A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BCB"/>
    <w:rsid w:val="00311568"/>
    <w:rsid w:val="00363BCB"/>
    <w:rsid w:val="0055379D"/>
    <w:rsid w:val="008F3573"/>
    <w:rsid w:val="2D4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2021-09-01T09:29:00Z</dcterms:created>
  <dc:creator>lenovo</dc:creator>
  <cp:lastModifiedBy>美丽涅槃</cp:lastModifiedBy>
  <dcterms:modified xsi:type="dcterms:W3CDTF">2025-01-07T07:43:26Z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