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 w:cs="方正黑体_GBK"/>
        </w:rPr>
      </w:pPr>
      <w:r>
        <w:rPr>
          <w:rFonts w:hint="eastAsia" w:eastAsia="方正黑体_GBK" w:cs="方正黑体_GBK"/>
        </w:rPr>
        <w:t>附件2</w:t>
      </w: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eastAsia="方正小标宋_GBK" w:cs="方正小标宋_GBK"/>
          <w:sz w:val="40"/>
          <w:szCs w:val="40"/>
        </w:rPr>
      </w:pPr>
      <w:r>
        <w:rPr>
          <w:rFonts w:hint="eastAsia" w:eastAsia="方正小标宋_GBK" w:cs="方正小标宋_GBK"/>
          <w:sz w:val="40"/>
          <w:szCs w:val="40"/>
        </w:rPr>
        <w:t>国家级、省级、市级继教项目系统管理流程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firstLine="61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举办前登记备案</w:t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登</w:t>
      </w:r>
      <w:r>
        <w:rPr>
          <w:rFonts w:hint="eastAsia" w:eastAsia="方正仿宋_GBK" w:cs="方正仿宋_GBK"/>
          <w:lang w:eastAsia="zh-CN"/>
        </w:rPr>
        <w:t>录</w:t>
      </w:r>
      <w:bookmarkStart w:id="0" w:name="_GoBack"/>
      <w:bookmarkEnd w:id="0"/>
      <w:r>
        <w:rPr>
          <w:rFonts w:hint="eastAsia" w:eastAsia="方正仿宋_GBK" w:cs="方正仿宋_GBK"/>
        </w:rPr>
        <w:t>系统网址：首先打开浏览器，在浏览器地址栏中输入福建省继教管理平台网址：http://220.160.53.27:18005，如下图：</w:t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/>
        </w:rPr>
        <w:drawing>
          <wp:inline distT="0" distB="0" distL="0" distR="0">
            <wp:extent cx="5448300" cy="2257425"/>
            <wp:effectExtent l="19050" t="0" r="0" b="0"/>
            <wp:docPr id="1" name="图片 4" descr="1618408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16184085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57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输入您的用户名及密码，即可登录成功。</w:t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（一）进入“继教活动－项目管理”，国家级和省级项目由省级卫生行政部门审批公布后，直接同步到举办方办班账号（即用哪个账号申报的项目，培训办班也要用此账号）。（注：举办方千万不要自己“添加”项目，只能在“继教活动－项目管理”中查找到项目，进行“维护课程信息”和“维护举办周期”。）</w:t>
      </w:r>
    </w:p>
    <w:p>
      <w:pPr>
        <w:rPr>
          <w:rFonts w:hint="eastAsia" w:eastAsia="方正仿宋_GBK" w:cs="方正仿宋_GBK"/>
        </w:rPr>
      </w:pP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619750" cy="2257425"/>
            <wp:effectExtent l="19050" t="0" r="0" b="0"/>
            <wp:docPr id="2" name="图片 13" descr="16184461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1618446152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257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（二）进入“省级项目申报系统”模块，填写举办前登记，完成项目举办前登记备案。</w:t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648325" cy="1762125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7621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二、项目实施过程管理</w:t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培训考勤。项目举办前登记上报审批通过后，即可培训办班，利用二维码考勤或人脸识别进行考勤，必要时可以对培训班进行评价和培训考试。</w:t>
      </w:r>
    </w:p>
    <w:p>
      <w:pPr>
        <w:ind w:firstLine="61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三、学分授予</w:t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（一）点击“学分管理-项目参加者授分”，找到要授分的项目，根据考勤记录进行初步授分。</w:t>
      </w:r>
    </w:p>
    <w:p>
      <w:pPr>
        <w:rPr>
          <w:rFonts w:hint="eastAsia" w:eastAsia="方正仿宋_GBK" w:cs="方正仿宋_GBK"/>
        </w:rPr>
      </w:pP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057775" cy="1838325"/>
            <wp:effectExtent l="1905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8383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1.点击“授分”，跳转至授分页面。</w:t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153025" cy="1704975"/>
            <wp:effectExtent l="19050" t="0" r="9525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7049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2.点击“考勤明细”，可查看所有参会且考勤成功的人员明细。</w:t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114925" cy="1819275"/>
            <wp:effectExtent l="19050" t="0" r="9525" b="0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819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3.点击“考勤分析”，设置刷卡周期（一般半天设置刷卡2次，即课前和课后，刷卡周期即为培训办班时扫二维码的时间段），点击考勤分析，在页面的下方，符合多个刷卡周期的人员将被分析出来。</w:t>
      </w:r>
    </w:p>
    <w:p>
      <w:pPr>
        <w:rPr>
          <w:rFonts w:hint="eastAsia" w:eastAsia="方正仿宋_GBK" w:cs="方正仿宋_GBK"/>
        </w:rPr>
      </w:pP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4886325" cy="1562100"/>
            <wp:effectExtent l="19050" t="0" r="9525" b="0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562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4.点击“确定”，符合条件的参会人员将进入有效人员名单，最后才给这些人员授予学分。</w:t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4962525" cy="1000125"/>
            <wp:effectExtent l="19050" t="0" r="9525" b="0"/>
            <wp:docPr id="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0001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（二）授分后，通过“统计查询-项目明细查询”，导出已授分人员名单。</w:t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4933950" cy="1876425"/>
            <wp:effectExtent l="19050" t="0" r="0" b="0"/>
            <wp:docPr id="9" name="图片 9" descr="16184104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18410410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876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（三）填写“执行情况反馈”。将导出的授分人员名单，上传到第3页；“执行情况反馈”第4页点“蓝框”后会自动对接授分人员名单。</w:t>
      </w:r>
    </w:p>
    <w:p>
      <w:pPr>
        <w:rPr>
          <w:rFonts w:hint="eastAsia" w:eastAsia="方正仿宋_GBK" w:cs="方正仿宋_GBK"/>
        </w:rPr>
      </w:pP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010150" cy="137160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371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124450" cy="1238250"/>
            <wp:effectExtent l="19050" t="0" r="0" b="0"/>
            <wp:docPr id="11" name="图片 17" descr="16184059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" descr="1618405927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238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/>
        </w:rPr>
        <w:drawing>
          <wp:inline distT="0" distB="0" distL="0" distR="0">
            <wp:extent cx="5133975" cy="1257300"/>
            <wp:effectExtent l="19050" t="0" r="9525" b="0"/>
            <wp:docPr id="12" name="图片 7" descr="16184059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1618405975(1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57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1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四、项目总结</w:t>
      </w:r>
    </w:p>
    <w:p>
      <w:pPr>
        <w:ind w:firstLine="612" w:firstLineChars="200"/>
        <w:rPr>
          <w:rFonts w:hint="eastAsia" w:eastAsia="方正仿宋_GBK" w:cs="方正仿宋_GBK"/>
        </w:rPr>
      </w:pPr>
      <w:r>
        <w:rPr>
          <w:rFonts w:hint="eastAsia" w:eastAsia="方正仿宋_GBK" w:cs="方正仿宋_GBK"/>
        </w:rPr>
        <w:t>需在培训班结束后30个工作日内进入“省级项目申报系统”模块，按要求填写并上传项目执行情况反馈和相关材料，才可授予学分。国家级项目要同时登陆http://cmegsb.cma.org.cn填写上报执行情况反馈。</w:t>
      </w:r>
    </w:p>
    <w:p>
      <w:pPr>
        <w:jc w:val="center"/>
        <w:rPr>
          <w:rFonts w:hint="eastAsia" w:eastAsia="方正仿宋_GBK" w:cs="方正仿宋_GBK"/>
        </w:rPr>
      </w:pPr>
      <w:r>
        <w:rPr>
          <w:rFonts w:hint="eastAsia" w:eastAsia="仿宋" w:cs="仿宋"/>
          <w:sz w:val="32"/>
          <w:szCs w:val="32"/>
        </w:rPr>
        <w:drawing>
          <wp:inline distT="0" distB="0" distL="0" distR="0">
            <wp:extent cx="5076825" cy="181927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819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985" w:right="1531" w:bottom="1871" w:left="1531" w:header="851" w:footer="1588" w:gutter="0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8CAE"/>
    <w:multiLevelType w:val="singleLevel"/>
    <w:tmpl w:val="6B2F8C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2E2"/>
    <w:rsid w:val="00311568"/>
    <w:rsid w:val="0055379D"/>
    <w:rsid w:val="00603047"/>
    <w:rsid w:val="00D362E2"/>
    <w:rsid w:val="1D5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宋体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</Words>
  <Characters>719</Characters>
  <Lines>5</Lines>
  <Paragraphs>1</Paragraphs>
  <TotalTime>1</TotalTime>
  <ScaleCrop>false</ScaleCrop>
  <LinksUpToDate>false</LinksUpToDate>
  <CharactersWithSpaces>843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2022-05-12T01:47:00Z</dcterms:created>
  <dc:creator>lenovo</dc:creator>
  <cp:lastModifiedBy>美丽涅槃</cp:lastModifiedBy>
  <dcterms:modified xsi:type="dcterms:W3CDTF">2024-12-26T07:43:56Z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