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left="0" w:leftChars="0" w:firstLine="0" w:firstLineChars="0"/>
        <w:jc w:val="center"/>
        <w:rPr>
          <w:rFonts w:hint="eastAsia" w:ascii="方正小标宋_GBK" w:hAnsi="方正小标宋_GBK" w:eastAsia="方正小标宋_GBK" w:cs="方正小标宋_GBK"/>
          <w:b w:val="0"/>
          <w:bCs/>
          <w:color w:val="auto"/>
          <w:sz w:val="40"/>
          <w:szCs w:val="40"/>
          <w:highlight w:val="none"/>
          <w:lang w:eastAsia="zh-CN"/>
        </w:rPr>
      </w:pPr>
      <w:bookmarkStart w:id="1" w:name="_GoBack"/>
      <w:bookmarkEnd w:id="1"/>
      <w:r>
        <w:rPr>
          <w:rFonts w:hint="eastAsia" w:ascii="方正小标宋_GBK" w:hAnsi="方正小标宋_GBK" w:eastAsia="方正小标宋_GBK" w:cs="方正小标宋_GBK"/>
          <w:b w:val="0"/>
          <w:bCs/>
          <w:color w:val="auto"/>
          <w:sz w:val="40"/>
          <w:szCs w:val="40"/>
          <w:highlight w:val="none"/>
          <w:lang w:eastAsia="zh-CN"/>
        </w:rPr>
        <w:t>三明市四大慢病专项信息化</w:t>
      </w:r>
    </w:p>
    <w:p>
      <w:pPr>
        <w:pStyle w:val="4"/>
        <w:spacing w:line="360" w:lineRule="auto"/>
        <w:ind w:left="0" w:leftChars="0" w:firstLine="0" w:firstLineChars="0"/>
        <w:jc w:val="center"/>
        <w:rPr>
          <w:rFonts w:hint="eastAsia" w:ascii="方正小标宋_GBK" w:hAnsi="方正小标宋_GBK" w:eastAsia="方正小标宋_GBK" w:cs="方正小标宋_GBK"/>
          <w:b w:val="0"/>
          <w:bCs/>
          <w:strike w:val="0"/>
          <w:color w:val="auto"/>
          <w:sz w:val="40"/>
          <w:szCs w:val="40"/>
          <w:highlight w:val="none"/>
        </w:rPr>
      </w:pPr>
      <w:r>
        <w:rPr>
          <w:rFonts w:hint="eastAsia" w:ascii="方正小标宋_GBK" w:hAnsi="方正小标宋_GBK" w:eastAsia="方正小标宋_GBK" w:cs="方正小标宋_GBK"/>
          <w:b w:val="0"/>
          <w:bCs/>
          <w:color w:val="auto"/>
          <w:sz w:val="40"/>
          <w:szCs w:val="40"/>
          <w:highlight w:val="none"/>
          <w:lang w:val="en-US" w:eastAsia="zh-CN"/>
        </w:rPr>
        <w:t>硬件安全</w:t>
      </w:r>
      <w:r>
        <w:rPr>
          <w:rFonts w:hint="eastAsia" w:ascii="方正小标宋_GBK" w:hAnsi="方正小标宋_GBK" w:eastAsia="方正小标宋_GBK" w:cs="方正小标宋_GBK"/>
          <w:b w:val="0"/>
          <w:bCs/>
          <w:color w:val="auto"/>
          <w:sz w:val="40"/>
          <w:szCs w:val="40"/>
          <w:highlight w:val="none"/>
          <w:lang w:eastAsia="zh-CN"/>
        </w:rPr>
        <w:t>建设项目询价公告</w:t>
      </w:r>
    </w:p>
    <w:p>
      <w:pPr>
        <w:pStyle w:val="47"/>
        <w:rPr>
          <w:rFonts w:ascii="仿宋_GB2312" w:hAnsi="宋体" w:eastAsia="仿宋_GB2312"/>
          <w:b/>
          <w:color w:val="auto"/>
          <w:sz w:val="36"/>
          <w:highlight w:val="none"/>
        </w:rPr>
      </w:pPr>
    </w:p>
    <w:p>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s="宋体"/>
          <w:color w:val="auto"/>
          <w:kern w:val="0"/>
          <w:sz w:val="24"/>
          <w:highlight w:val="none"/>
          <w:lang w:val="en-US" w:eastAsia="zh-CN"/>
        </w:rPr>
        <w:t>经研究，三明市卫生健康委员会</w:t>
      </w:r>
      <w:r>
        <w:rPr>
          <w:rFonts w:hint="eastAsia" w:ascii="仿宋_GB2312" w:eastAsia="仿宋_GB2312"/>
          <w:bCs/>
          <w:strike w:val="0"/>
          <w:color w:val="auto"/>
          <w:sz w:val="24"/>
          <w:highlight w:val="none"/>
          <w:lang w:eastAsia="zh-CN"/>
        </w:rPr>
        <w:t>拟开展</w:t>
      </w:r>
      <w:r>
        <w:rPr>
          <w:rFonts w:hint="eastAsia" w:ascii="仿宋_GB2312" w:eastAsia="仿宋_GB2312"/>
          <w:bCs/>
          <w:strike w:val="0"/>
          <w:color w:val="auto"/>
          <w:sz w:val="24"/>
          <w:highlight w:val="none"/>
          <w:lang w:val="en-US" w:eastAsia="zh-CN"/>
        </w:rPr>
        <w:t>三明市四大慢病专项信息化硬件安全建设</w:t>
      </w:r>
      <w:r>
        <w:rPr>
          <w:rFonts w:hint="eastAsia" w:ascii="仿宋_GB2312" w:eastAsia="仿宋_GB2312"/>
          <w:bCs/>
          <w:strike w:val="0"/>
          <w:color w:val="auto"/>
          <w:sz w:val="24"/>
          <w:highlight w:val="none"/>
          <w:lang w:eastAsia="zh-CN"/>
        </w:rPr>
        <w:t>，</w:t>
      </w:r>
      <w:r>
        <w:rPr>
          <w:rFonts w:hint="eastAsia" w:ascii="仿宋_GB2312" w:hAnsi="宋体" w:eastAsia="仿宋_GB2312"/>
          <w:color w:val="auto"/>
          <w:sz w:val="24"/>
          <w:highlight w:val="none"/>
          <w:lang w:eastAsia="zh-CN"/>
        </w:rPr>
        <w:t>现面向社会进行市场询价，</w:t>
      </w:r>
      <w:r>
        <w:rPr>
          <w:rFonts w:hint="eastAsia" w:ascii="仿宋_GB2312" w:eastAsia="仿宋_GB2312"/>
          <w:bCs/>
          <w:color w:val="auto"/>
          <w:sz w:val="24"/>
          <w:highlight w:val="none"/>
        </w:rPr>
        <w:t>欢迎</w:t>
      </w:r>
      <w:r>
        <w:rPr>
          <w:rFonts w:hint="eastAsia" w:ascii="仿宋_GB2312" w:hAnsi="宋体" w:eastAsia="仿宋_GB2312"/>
          <w:color w:val="auto"/>
          <w:sz w:val="24"/>
          <w:highlight w:val="none"/>
        </w:rPr>
        <w:t>国内</w:t>
      </w:r>
      <w:r>
        <w:rPr>
          <w:rFonts w:hint="eastAsia" w:ascii="仿宋_GB2312" w:eastAsia="仿宋_GB2312"/>
          <w:bCs/>
          <w:color w:val="auto"/>
          <w:sz w:val="24"/>
          <w:highlight w:val="none"/>
        </w:rPr>
        <w:t>具有资质条件的</w:t>
      </w:r>
      <w:r>
        <w:rPr>
          <w:rFonts w:hint="eastAsia" w:ascii="仿宋_GB2312" w:hAnsi="宋体" w:eastAsia="仿宋_GB2312"/>
          <w:color w:val="auto"/>
          <w:sz w:val="24"/>
          <w:highlight w:val="none"/>
        </w:rPr>
        <w:t>供应商</w:t>
      </w:r>
      <w:r>
        <w:rPr>
          <w:rFonts w:hint="eastAsia" w:ascii="仿宋_GB2312" w:eastAsia="仿宋_GB2312"/>
          <w:bCs/>
          <w:color w:val="auto"/>
          <w:sz w:val="24"/>
          <w:highlight w:val="none"/>
        </w:rPr>
        <w:t>前来参</w:t>
      </w:r>
      <w:r>
        <w:rPr>
          <w:rFonts w:hint="eastAsia" w:ascii="仿宋_GB2312" w:hAnsi="宋体" w:eastAsia="仿宋_GB2312"/>
          <w:color w:val="auto"/>
          <w:sz w:val="24"/>
          <w:highlight w:val="none"/>
        </w:rPr>
        <w:t>加报价。</w:t>
      </w:r>
    </w:p>
    <w:p>
      <w:pPr>
        <w:numPr>
          <w:ilvl w:val="0"/>
          <w:numId w:val="6"/>
        </w:numPr>
        <w:spacing w:line="360" w:lineRule="auto"/>
        <w:ind w:firstLine="480" w:firstLineChars="200"/>
        <w:rPr>
          <w:rFonts w:hint="eastAsia" w:ascii="仿宋_GB2312" w:eastAsia="仿宋_GB2312"/>
          <w:bCs/>
          <w:strike w:val="0"/>
          <w:dstrike w:val="0"/>
          <w:color w:val="auto"/>
          <w:sz w:val="24"/>
          <w:highlight w:val="none"/>
          <w:lang w:val="en-US" w:eastAsia="zh-CN"/>
        </w:rPr>
      </w:pPr>
      <w:r>
        <w:rPr>
          <w:rFonts w:hint="eastAsia" w:ascii="仿宋_GB2312" w:hAnsi="宋体" w:eastAsia="仿宋_GB2312"/>
          <w:strike w:val="0"/>
          <w:dstrike w:val="0"/>
          <w:color w:val="auto"/>
          <w:sz w:val="24"/>
          <w:highlight w:val="none"/>
        </w:rPr>
        <w:t>项目名称：</w:t>
      </w:r>
      <w:r>
        <w:rPr>
          <w:rFonts w:hint="eastAsia" w:ascii="仿宋_GB2312" w:eastAsia="仿宋_GB2312"/>
          <w:bCs/>
          <w:strike w:val="0"/>
          <w:dstrike w:val="0"/>
          <w:color w:val="auto"/>
          <w:sz w:val="24"/>
          <w:highlight w:val="none"/>
          <w:lang w:val="en-US" w:eastAsia="zh-CN"/>
        </w:rPr>
        <w:t>三明市四大慢病专项信息化硬件安全建设</w:t>
      </w:r>
    </w:p>
    <w:p>
      <w:pPr>
        <w:numPr>
          <w:ilvl w:val="0"/>
          <w:numId w:val="6"/>
        </w:numPr>
        <w:spacing w:line="360" w:lineRule="auto"/>
        <w:ind w:left="0" w:leftChars="0"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项目内容及要求：</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675"/>
        <w:gridCol w:w="5679"/>
        <w:gridCol w:w="684"/>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430" w:type="pct"/>
            <w:tcBorders>
              <w:tl2br w:val="nil"/>
              <w:tr2bl w:val="nil"/>
            </w:tcBorders>
            <w:shd w:val="clear" w:color="000000" w:fill="FFFFFF"/>
            <w:vAlign w:val="center"/>
          </w:tcPr>
          <w:p>
            <w:pPr>
              <w:widowControl/>
              <w:jc w:val="center"/>
              <w:textAlignment w:val="center"/>
              <w:rPr>
                <w:rFonts w:ascii="楷体_GB2312" w:hAnsi="楷体" w:eastAsia="楷体_GB2312" w:cs="楷体"/>
                <w:b/>
                <w:bCs/>
                <w:color w:val="auto"/>
                <w:szCs w:val="21"/>
                <w:highlight w:val="none"/>
              </w:rPr>
            </w:pPr>
            <w:bookmarkStart w:id="0" w:name="RANGE!B3"/>
            <w:r>
              <w:rPr>
                <w:rFonts w:hint="eastAsia" w:ascii="楷体_GB2312" w:hAnsi="楷体" w:eastAsia="楷体_GB2312" w:cs="楷体"/>
                <w:b/>
                <w:bCs/>
                <w:color w:val="auto"/>
                <w:kern w:val="0"/>
                <w:szCs w:val="21"/>
                <w:highlight w:val="none"/>
                <w:lang w:bidi="ar"/>
              </w:rPr>
              <w:t>编号</w:t>
            </w:r>
            <w:bookmarkEnd w:id="0"/>
          </w:p>
        </w:tc>
        <w:tc>
          <w:tcPr>
            <w:tcW w:w="879" w:type="pct"/>
            <w:tcBorders>
              <w:tl2br w:val="nil"/>
              <w:tr2bl w:val="nil"/>
            </w:tcBorders>
            <w:shd w:val="clear" w:color="000000" w:fill="FFFFFF"/>
            <w:vAlign w:val="center"/>
          </w:tcPr>
          <w:p>
            <w:pPr>
              <w:widowControl/>
              <w:jc w:val="center"/>
              <w:textAlignment w:val="center"/>
              <w:rPr>
                <w:rFonts w:ascii="楷体_GB2312" w:hAnsi="楷体" w:eastAsia="楷体_GB2312" w:cs="楷体"/>
                <w:b/>
                <w:bCs/>
                <w:color w:val="auto"/>
                <w:szCs w:val="21"/>
                <w:highlight w:val="none"/>
              </w:rPr>
            </w:pPr>
            <w:r>
              <w:rPr>
                <w:rFonts w:hint="eastAsia" w:ascii="楷体_GB2312" w:hAnsi="楷体" w:eastAsia="楷体_GB2312" w:cs="楷体"/>
                <w:b/>
                <w:bCs/>
                <w:color w:val="auto"/>
                <w:kern w:val="0"/>
                <w:szCs w:val="21"/>
                <w:highlight w:val="none"/>
                <w:lang w:bidi="ar"/>
              </w:rPr>
              <w:t>项目名称</w:t>
            </w:r>
          </w:p>
        </w:tc>
        <w:tc>
          <w:tcPr>
            <w:tcW w:w="2980" w:type="pct"/>
            <w:tcBorders>
              <w:tl2br w:val="nil"/>
              <w:tr2bl w:val="nil"/>
            </w:tcBorders>
            <w:shd w:val="clear" w:color="000000" w:fill="FFFFFF"/>
            <w:vAlign w:val="center"/>
          </w:tcPr>
          <w:p>
            <w:pPr>
              <w:widowControl/>
              <w:jc w:val="center"/>
              <w:textAlignment w:val="center"/>
              <w:rPr>
                <w:rFonts w:ascii="楷体_GB2312" w:hAnsi="楷体" w:eastAsia="楷体_GB2312" w:cs="楷体"/>
                <w:b/>
                <w:bCs/>
                <w:color w:val="auto"/>
                <w:szCs w:val="21"/>
                <w:highlight w:val="none"/>
              </w:rPr>
            </w:pPr>
            <w:r>
              <w:rPr>
                <w:rFonts w:hint="eastAsia" w:ascii="楷体_GB2312" w:hAnsi="楷体" w:eastAsia="楷体_GB2312" w:cs="楷体"/>
                <w:b/>
                <w:bCs/>
                <w:color w:val="auto"/>
                <w:kern w:val="0"/>
                <w:szCs w:val="21"/>
                <w:highlight w:val="none"/>
                <w:lang w:bidi="ar"/>
              </w:rPr>
              <w:t>主要性能指标</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b/>
                <w:bCs/>
                <w:color w:val="auto"/>
                <w:szCs w:val="21"/>
                <w:highlight w:val="none"/>
              </w:rPr>
            </w:pPr>
            <w:r>
              <w:rPr>
                <w:rFonts w:hint="eastAsia" w:ascii="楷体_GB2312" w:hAnsi="楷体" w:eastAsia="楷体_GB2312" w:cs="楷体"/>
                <w:b/>
                <w:bCs/>
                <w:color w:val="auto"/>
                <w:kern w:val="0"/>
                <w:szCs w:val="21"/>
                <w:highlight w:val="none"/>
                <w:lang w:bidi="ar"/>
              </w:rPr>
              <w:t>单位</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b/>
                <w:bCs/>
                <w:color w:val="auto"/>
                <w:szCs w:val="21"/>
                <w:highlight w:val="none"/>
              </w:rPr>
            </w:pPr>
            <w:r>
              <w:rPr>
                <w:rFonts w:hint="eastAsia" w:ascii="楷体_GB2312" w:hAnsi="楷体" w:eastAsia="楷体_GB2312" w:cs="楷体"/>
                <w:b/>
                <w:bCs/>
                <w:color w:val="auto"/>
                <w:kern w:val="0"/>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30" w:type="pct"/>
            <w:tcBorders>
              <w:tl2br w:val="nil"/>
              <w:tr2bl w:val="nil"/>
            </w:tcBorders>
            <w:shd w:val="clear" w:color="000000" w:fill="D9D9D9"/>
            <w:noWrap/>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一</w:t>
            </w:r>
          </w:p>
        </w:tc>
        <w:tc>
          <w:tcPr>
            <w:tcW w:w="879" w:type="pct"/>
            <w:tcBorders>
              <w:tl2br w:val="nil"/>
              <w:tr2bl w:val="nil"/>
            </w:tcBorders>
            <w:shd w:val="clear" w:color="000000" w:fill="D9D9D9"/>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云计算资源扩容</w:t>
            </w:r>
          </w:p>
        </w:tc>
        <w:tc>
          <w:tcPr>
            <w:tcW w:w="2980" w:type="pct"/>
            <w:tcBorders>
              <w:tl2br w:val="nil"/>
              <w:tr2bl w:val="nil"/>
            </w:tcBorders>
            <w:shd w:val="clear" w:color="000000" w:fill="D9D9D9"/>
            <w:vAlign w:val="center"/>
          </w:tcPr>
          <w:p>
            <w:pPr>
              <w:widowControl/>
              <w:jc w:val="left"/>
              <w:textAlignment w:val="center"/>
              <w:rPr>
                <w:rFonts w:ascii="楷体_GB2312" w:hAnsi="楷体" w:eastAsia="楷体_GB2312" w:cs="楷体"/>
                <w:b/>
                <w:bCs/>
                <w:color w:val="auto"/>
                <w:szCs w:val="21"/>
                <w:highlight w:val="none"/>
              </w:rPr>
            </w:pPr>
            <w:r>
              <w:rPr>
                <w:rFonts w:hint="eastAsia" w:ascii="楷体_GB2312" w:hAnsi="楷体" w:eastAsia="楷体_GB2312" w:cs="楷体"/>
                <w:b/>
                <w:bCs/>
                <w:color w:val="auto"/>
                <w:kern w:val="0"/>
                <w:szCs w:val="21"/>
                <w:highlight w:val="none"/>
                <w:lang w:bidi="ar"/>
              </w:rPr>
              <w:t>　</w:t>
            </w:r>
          </w:p>
        </w:tc>
        <w:tc>
          <w:tcPr>
            <w:tcW w:w="359" w:type="pct"/>
            <w:tcBorders>
              <w:tl2br w:val="nil"/>
              <w:tr2bl w:val="nil"/>
            </w:tcBorders>
            <w:shd w:val="clear" w:color="000000" w:fill="D9D9D9"/>
            <w:vAlign w:val="center"/>
          </w:tcPr>
          <w:p>
            <w:pPr>
              <w:widowControl/>
              <w:jc w:val="center"/>
              <w:textAlignment w:val="center"/>
              <w:rPr>
                <w:rFonts w:ascii="楷体_GB2312" w:hAnsi="楷体" w:eastAsia="楷体_GB2312" w:cs="楷体"/>
                <w:b/>
                <w:bCs/>
                <w:color w:val="auto"/>
                <w:szCs w:val="21"/>
                <w:highlight w:val="none"/>
              </w:rPr>
            </w:pPr>
            <w:r>
              <w:rPr>
                <w:rFonts w:hint="eastAsia" w:ascii="楷体_GB2312" w:hAnsi="楷体" w:eastAsia="楷体_GB2312" w:cs="楷体"/>
                <w:b/>
                <w:bCs/>
                <w:color w:val="auto"/>
                <w:kern w:val="0"/>
                <w:szCs w:val="21"/>
                <w:highlight w:val="none"/>
                <w:lang w:bidi="ar"/>
              </w:rPr>
              <w:t>　</w:t>
            </w:r>
          </w:p>
        </w:tc>
        <w:tc>
          <w:tcPr>
            <w:tcW w:w="352" w:type="pct"/>
            <w:tcBorders>
              <w:tl2br w:val="nil"/>
              <w:tr2bl w:val="nil"/>
            </w:tcBorders>
            <w:shd w:val="clear" w:color="000000" w:fill="D9D9D9"/>
            <w:vAlign w:val="center"/>
          </w:tcPr>
          <w:p>
            <w:pPr>
              <w:widowControl/>
              <w:jc w:val="center"/>
              <w:textAlignment w:val="center"/>
              <w:rPr>
                <w:rFonts w:ascii="楷体_GB2312" w:hAnsi="楷体" w:eastAsia="楷体_GB2312" w:cs="楷体"/>
                <w:b/>
                <w:bCs/>
                <w:color w:val="auto"/>
                <w:szCs w:val="21"/>
                <w:highlight w:val="none"/>
              </w:rPr>
            </w:pPr>
            <w:r>
              <w:rPr>
                <w:rFonts w:hint="eastAsia" w:ascii="楷体_GB2312" w:hAnsi="楷体" w:eastAsia="楷体_GB2312" w:cs="楷体"/>
                <w:b/>
                <w:bCs/>
                <w:color w:val="auto"/>
                <w:kern w:val="0"/>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1</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国产超融合一体机（政务外网）</w:t>
            </w:r>
          </w:p>
        </w:tc>
        <w:tc>
          <w:tcPr>
            <w:tcW w:w="2980" w:type="pct"/>
            <w:tcBorders>
              <w:tl2br w:val="nil"/>
              <w:tr2bl w:val="nil"/>
            </w:tcBorders>
            <w:shd w:val="clear" w:color="000000" w:fill="FFFFFF"/>
            <w:noWrap/>
            <w:vAlign w:val="center"/>
          </w:tcPr>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在现有虚拟化平台上扩容3个节点的超融合一体机，具体扩容要求如下：</w:t>
            </w:r>
          </w:p>
          <w:p>
            <w:pPr>
              <w:widowControl/>
              <w:jc w:val="left"/>
              <w:textAlignment w:val="center"/>
              <w:rPr>
                <w:rFonts w:ascii="楷体_GB2312" w:hAnsi="楷体" w:eastAsia="楷体_GB2312" w:cs="楷体"/>
                <w:color w:val="auto"/>
                <w:kern w:val="0"/>
                <w:szCs w:val="21"/>
                <w:highlight w:val="none"/>
                <w:lang w:bidi="ar"/>
              </w:rPr>
            </w:pPr>
            <w:r>
              <w:rPr>
                <w:rFonts w:ascii="楷体_GB2312" w:hAnsi="楷体" w:eastAsia="楷体_GB2312" w:cs="楷体"/>
                <w:color w:val="auto"/>
                <w:kern w:val="0"/>
                <w:szCs w:val="21"/>
                <w:highlight w:val="none"/>
                <w:lang w:bidi="ar"/>
              </w:rPr>
              <w:t>1</w:t>
            </w:r>
            <w:r>
              <w:rPr>
                <w:rFonts w:hint="eastAsia" w:ascii="楷体_GB2312" w:hAnsi="楷体" w:eastAsia="楷体_GB2312" w:cs="楷体"/>
                <w:color w:val="auto"/>
                <w:kern w:val="0"/>
                <w:szCs w:val="21"/>
                <w:highlight w:val="none"/>
                <w:lang w:bidi="ar"/>
              </w:rPr>
              <w:t>）单节点超融合设备≥2U机架式，实配≥2颗国产中央处理器，单颗中央处理器主频≥2.6GHz、核数≥48核、L3缓存≥256MB；配置≥</w:t>
            </w:r>
            <w:r>
              <w:rPr>
                <w:rFonts w:ascii="楷体_GB2312" w:hAnsi="楷体" w:eastAsia="楷体_GB2312" w:cs="楷体"/>
                <w:color w:val="auto"/>
                <w:kern w:val="0"/>
                <w:szCs w:val="21"/>
                <w:highlight w:val="none"/>
                <w:lang w:bidi="ar"/>
              </w:rPr>
              <w:t>1024</w:t>
            </w:r>
            <w:r>
              <w:rPr>
                <w:rFonts w:hint="eastAsia" w:ascii="楷体_GB2312" w:hAnsi="楷体" w:eastAsia="楷体_GB2312" w:cs="楷体"/>
                <w:color w:val="auto"/>
                <w:kern w:val="0"/>
                <w:szCs w:val="21"/>
                <w:highlight w:val="none"/>
                <w:lang w:bidi="ar"/>
              </w:rPr>
              <w:t>GB DDR5 RDIMM 内存；配置≥4千兆电口，≥6个万兆光端口(含SFP+ 模块), ≥2端口32GB的FC接口（含光模块）；≥2块480G SSD硬盘；配置RAID卡(带4GB缓存，含超级电容），冗余电源；</w:t>
            </w:r>
          </w:p>
          <w:p>
            <w:pPr>
              <w:widowControl/>
              <w:jc w:val="left"/>
              <w:textAlignment w:val="center"/>
              <w:rPr>
                <w:rFonts w:ascii="楷体_GB2312" w:hAnsi="楷体" w:eastAsia="楷体_GB2312" w:cs="楷体"/>
                <w:color w:val="auto"/>
                <w:szCs w:val="21"/>
                <w:highlight w:val="none"/>
              </w:rPr>
            </w:pPr>
            <w:r>
              <w:rPr>
                <w:rFonts w:ascii="楷体_GB2312" w:hAnsi="楷体" w:eastAsia="楷体_GB2312" w:cs="楷体"/>
                <w:color w:val="auto"/>
                <w:kern w:val="0"/>
                <w:szCs w:val="21"/>
                <w:highlight w:val="none"/>
                <w:lang w:bidi="ar"/>
              </w:rPr>
              <w:t>2</w:t>
            </w:r>
            <w:r>
              <w:rPr>
                <w:rFonts w:hint="eastAsia" w:ascii="楷体_GB2312" w:hAnsi="楷体" w:eastAsia="楷体_GB2312" w:cs="楷体"/>
                <w:color w:val="auto"/>
                <w:kern w:val="0"/>
                <w:szCs w:val="21"/>
                <w:highlight w:val="none"/>
                <w:lang w:bidi="ar"/>
              </w:rPr>
              <w:t>）本次在现有的虚拟化管理平台上，扩容管理平台软件许可≥14颗CPU授权、计算虚拟化许可≥26颗CPU授权，云主机深度安全防护系统 (AV+DPI) 许可≥14颗CPU授权，5年原厂质保。</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套</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2</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内存扩容</w:t>
            </w:r>
          </w:p>
        </w:tc>
        <w:tc>
          <w:tcPr>
            <w:tcW w:w="2980" w:type="pct"/>
            <w:tcBorders>
              <w:tl2br w:val="nil"/>
              <w:tr2bl w:val="nil"/>
            </w:tcBorders>
            <w:shd w:val="clear" w:color="auto" w:fill="auto"/>
            <w:vAlign w:val="center"/>
          </w:tcPr>
          <w:p>
            <w:pPr>
              <w:widowControl/>
              <w:jc w:val="left"/>
              <w:textAlignment w:val="center"/>
              <w:rPr>
                <w:rFonts w:hint="eastAsia"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1）在使用单位现有的超融合一体机上扩容≥</w:t>
            </w:r>
            <w:r>
              <w:rPr>
                <w:rFonts w:ascii="楷体_GB2312" w:hAnsi="楷体" w:eastAsia="楷体_GB2312" w:cs="楷体"/>
                <w:color w:val="auto"/>
                <w:kern w:val="0"/>
                <w:szCs w:val="21"/>
                <w:highlight w:val="none"/>
                <w:lang w:bidi="ar"/>
              </w:rPr>
              <w:t>48</w:t>
            </w:r>
            <w:r>
              <w:rPr>
                <w:rFonts w:hint="eastAsia" w:ascii="楷体_GB2312" w:hAnsi="楷体" w:eastAsia="楷体_GB2312" w:cs="楷体"/>
                <w:color w:val="auto"/>
                <w:kern w:val="0"/>
                <w:szCs w:val="21"/>
                <w:highlight w:val="none"/>
                <w:lang w:bidi="ar"/>
              </w:rPr>
              <w:t>条*64G DDR4 内存；</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项</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3</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硬盘扩容</w:t>
            </w:r>
          </w:p>
        </w:tc>
        <w:tc>
          <w:tcPr>
            <w:tcW w:w="2980" w:type="pct"/>
            <w:tcBorders>
              <w:tl2br w:val="nil"/>
              <w:tr2bl w:val="nil"/>
            </w:tcBorders>
            <w:shd w:val="clear" w:color="auto" w:fill="auto"/>
            <w:vAlign w:val="center"/>
          </w:tcPr>
          <w:p>
            <w:pPr>
              <w:widowControl/>
              <w:jc w:val="left"/>
              <w:textAlignment w:val="center"/>
              <w:rPr>
                <w:rFonts w:ascii="楷体_GB2312" w:hAnsi="楷体" w:eastAsia="楷体_GB2312" w:cs="楷体"/>
                <w:b/>
                <w:color w:val="auto"/>
                <w:kern w:val="0"/>
                <w:szCs w:val="21"/>
                <w:highlight w:val="none"/>
                <w:lang w:bidi="ar"/>
              </w:rPr>
            </w:pPr>
            <w:r>
              <w:rPr>
                <w:rFonts w:hint="eastAsia" w:ascii="楷体_GB2312" w:hAnsi="楷体" w:eastAsia="楷体_GB2312" w:cs="楷体"/>
                <w:color w:val="auto"/>
                <w:kern w:val="0"/>
                <w:szCs w:val="21"/>
                <w:highlight w:val="none"/>
                <w:lang w:bidi="ar"/>
              </w:rPr>
              <w:t>1）在使用单位现有的服务器上扩容NVME硬盘笼，此次扩容8块≥3.84TB NVMe和对应的硬盘笼；</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项</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4</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算力服务器</w:t>
            </w:r>
          </w:p>
        </w:tc>
        <w:tc>
          <w:tcPr>
            <w:tcW w:w="2980" w:type="pct"/>
            <w:tcBorders>
              <w:tl2br w:val="nil"/>
              <w:tr2bl w:val="nil"/>
            </w:tcBorders>
            <w:shd w:val="clear" w:color="auto" w:fill="auto"/>
            <w:noWrap/>
            <w:vAlign w:val="center"/>
          </w:tcPr>
          <w:p>
            <w:pPr>
              <w:widowControl/>
              <w:spacing w:line="276" w:lineRule="auto"/>
              <w:jc w:val="left"/>
              <w:rPr>
                <w:rFonts w:ascii="楷体_GB2312" w:hAnsi="楷体" w:eastAsia="楷体_GB2312" w:cs="楷体"/>
                <w:color w:val="auto"/>
                <w:szCs w:val="21"/>
                <w:highlight w:val="none"/>
              </w:rPr>
            </w:pPr>
            <w:r>
              <w:rPr>
                <w:rFonts w:hint="eastAsia" w:ascii="楷体_GB2312" w:hAnsi="楷体" w:eastAsia="楷体_GB2312" w:cs="楷体"/>
                <w:color w:val="auto"/>
                <w:szCs w:val="21"/>
                <w:highlight w:val="none"/>
              </w:rPr>
              <w:t>1）单台配置：国产CPU≥2颗，单颗CPU主频≥2.7GHz、≥64核；</w:t>
            </w:r>
          </w:p>
          <w:p>
            <w:pPr>
              <w:widowControl/>
              <w:spacing w:line="276" w:lineRule="auto"/>
              <w:jc w:val="left"/>
              <w:rPr>
                <w:rFonts w:ascii="楷体_GB2312" w:hAnsi="楷体" w:eastAsia="楷体_GB2312" w:cs="楷体"/>
                <w:color w:val="auto"/>
                <w:szCs w:val="21"/>
                <w:highlight w:val="none"/>
              </w:rPr>
            </w:pPr>
            <w:r>
              <w:rPr>
                <w:rFonts w:hint="eastAsia" w:ascii="楷体_GB2312" w:hAnsi="楷体" w:eastAsia="楷体_GB2312" w:cs="楷体"/>
                <w:color w:val="auto"/>
                <w:szCs w:val="21"/>
                <w:highlight w:val="none"/>
              </w:rPr>
              <w:t>2）配置内存≥1024GB DDR5，系统盘≥2*960GB SATA SSD，数据盘≥4*3.84TB NVMe SSD；</w:t>
            </w:r>
          </w:p>
          <w:p>
            <w:pPr>
              <w:widowControl/>
              <w:spacing w:line="276" w:lineRule="auto"/>
              <w:jc w:val="left"/>
              <w:rPr>
                <w:rFonts w:ascii="楷体_GB2312" w:hAnsi="楷体" w:eastAsia="楷体_GB2312" w:cs="楷体"/>
                <w:color w:val="auto"/>
                <w:szCs w:val="21"/>
                <w:highlight w:val="none"/>
              </w:rPr>
            </w:pPr>
            <w:r>
              <w:rPr>
                <w:rFonts w:hint="eastAsia" w:ascii="楷体_GB2312" w:hAnsi="楷体" w:eastAsia="楷体_GB2312" w:cs="楷体"/>
                <w:color w:val="auto"/>
                <w:szCs w:val="21"/>
                <w:highlight w:val="none"/>
              </w:rPr>
              <w:t>4）配置≥2*双口10GbE网卡（配4个SFP+万兆多模光模块），≥1*4端口GE网卡；</w:t>
            </w:r>
          </w:p>
          <w:p>
            <w:pPr>
              <w:widowControl/>
              <w:spacing w:line="276" w:lineRule="auto"/>
              <w:jc w:val="left"/>
              <w:rPr>
                <w:rFonts w:hint="eastAsia" w:ascii="楷体_GB2312" w:hAnsi="楷体" w:eastAsia="楷体_GB2312" w:cs="楷体"/>
                <w:color w:val="auto"/>
                <w:szCs w:val="21"/>
                <w:highlight w:val="none"/>
              </w:rPr>
            </w:pPr>
            <w:r>
              <w:rPr>
                <w:rFonts w:hint="eastAsia" w:ascii="楷体_GB2312" w:hAnsi="楷体" w:eastAsia="楷体_GB2312" w:cs="楷体"/>
                <w:color w:val="auto"/>
                <w:szCs w:val="21"/>
                <w:highlight w:val="none"/>
              </w:rPr>
              <w:t>5）配置≥8张GPU模块，单卡显存容量≥64GB，FP16计算性能≥459 TFlopS，支持FP64；</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台</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5</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心跳交换机（政务外网）</w:t>
            </w:r>
          </w:p>
        </w:tc>
        <w:tc>
          <w:tcPr>
            <w:tcW w:w="2980" w:type="pct"/>
            <w:tcBorders>
              <w:tl2br w:val="nil"/>
              <w:tr2bl w:val="nil"/>
            </w:tcBorders>
            <w:shd w:val="clear" w:color="auto" w:fill="auto"/>
            <w:noWrap/>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宋体" w:eastAsia="楷体_GB2312"/>
                <w:color w:val="auto"/>
                <w:szCs w:val="21"/>
                <w:highlight w:val="none"/>
              </w:rPr>
              <w:t>1）交换容量≥67</w:t>
            </w:r>
            <w:r>
              <w:rPr>
                <w:rFonts w:ascii="楷体_GB2312" w:hAnsi="宋体" w:eastAsia="楷体_GB2312"/>
                <w:color w:val="auto"/>
                <w:szCs w:val="21"/>
                <w:highlight w:val="none"/>
              </w:rPr>
              <w:t>0</w:t>
            </w:r>
            <w:r>
              <w:rPr>
                <w:rFonts w:hint="eastAsia" w:ascii="楷体_GB2312" w:hAnsi="宋体" w:eastAsia="楷体_GB2312"/>
                <w:color w:val="auto"/>
                <w:szCs w:val="21"/>
                <w:highlight w:val="none"/>
              </w:rPr>
              <w:t>Gbps，包转发率≥17</w:t>
            </w:r>
            <w:r>
              <w:rPr>
                <w:rFonts w:ascii="楷体_GB2312" w:hAnsi="宋体" w:eastAsia="楷体_GB2312"/>
                <w:color w:val="auto"/>
                <w:szCs w:val="21"/>
                <w:highlight w:val="none"/>
              </w:rPr>
              <w:t>0</w:t>
            </w:r>
            <w:r>
              <w:rPr>
                <w:rFonts w:hint="eastAsia" w:ascii="楷体_GB2312" w:hAnsi="宋体" w:eastAsia="楷体_GB2312"/>
                <w:color w:val="auto"/>
                <w:szCs w:val="21"/>
                <w:highlight w:val="none"/>
              </w:rPr>
              <w:t>Mpps；</w:t>
            </w:r>
            <w:r>
              <w:rPr>
                <w:rFonts w:hint="eastAsia" w:ascii="楷体_GB2312" w:hAnsi="宋体" w:eastAsia="楷体_GB2312"/>
                <w:color w:val="auto"/>
                <w:szCs w:val="21"/>
                <w:highlight w:val="none"/>
              </w:rPr>
              <w:br w:type="textWrapping"/>
            </w:r>
            <w:r>
              <w:rPr>
                <w:rFonts w:hint="eastAsia" w:ascii="楷体_GB2312" w:hAnsi="宋体" w:eastAsia="楷体_GB2312"/>
                <w:color w:val="auto"/>
                <w:szCs w:val="21"/>
                <w:highlight w:val="none"/>
              </w:rPr>
              <w:t>2）≥24个10/100/1000BASE-T电口，≥4个1/2.5/10GE SFP+端口；</w:t>
            </w:r>
            <w:r>
              <w:rPr>
                <w:rFonts w:hint="eastAsia" w:ascii="楷体_GB2312" w:hAnsi="宋体" w:eastAsia="楷体_GB2312"/>
                <w:color w:val="auto"/>
                <w:szCs w:val="21"/>
                <w:highlight w:val="none"/>
              </w:rPr>
              <w:br w:type="textWrapping"/>
            </w:r>
            <w:r>
              <w:rPr>
                <w:rFonts w:ascii="楷体_GB2312" w:hAnsi="宋体" w:eastAsia="楷体_GB2312"/>
                <w:color w:val="auto"/>
                <w:szCs w:val="21"/>
                <w:highlight w:val="none"/>
              </w:rPr>
              <w:t>3</w:t>
            </w:r>
            <w:r>
              <w:rPr>
                <w:rFonts w:hint="eastAsia" w:ascii="楷体_GB2312" w:hAnsi="宋体" w:eastAsia="楷体_GB2312"/>
                <w:color w:val="auto"/>
                <w:szCs w:val="21"/>
                <w:highlight w:val="none"/>
              </w:rPr>
              <w:t>）配置≥2个千兆单模光模块，≥2个千兆多模光模块。</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台</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6</w:t>
            </w:r>
          </w:p>
        </w:tc>
        <w:tc>
          <w:tcPr>
            <w:tcW w:w="879" w:type="pct"/>
            <w:tcBorders>
              <w:tl2br w:val="nil"/>
              <w:tr2bl w:val="nil"/>
            </w:tcBorders>
            <w:shd w:val="clear" w:color="auto" w:fill="auto"/>
            <w:vAlign w:val="center"/>
          </w:tcPr>
          <w:p>
            <w:pPr>
              <w:widowControl/>
              <w:jc w:val="left"/>
              <w:textAlignment w:val="center"/>
              <w:rPr>
                <w:rFonts w:hint="eastAsia"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带外管理交换机（政务外网）</w:t>
            </w:r>
          </w:p>
        </w:tc>
        <w:tc>
          <w:tcPr>
            <w:tcW w:w="2980" w:type="pct"/>
            <w:tcBorders>
              <w:tl2br w:val="nil"/>
              <w:tr2bl w:val="nil"/>
            </w:tcBorders>
            <w:shd w:val="clear" w:color="auto" w:fill="auto"/>
            <w:noWrap/>
            <w:vAlign w:val="center"/>
          </w:tcPr>
          <w:p>
            <w:pPr>
              <w:widowControl/>
              <w:jc w:val="left"/>
              <w:textAlignment w:val="center"/>
              <w:rPr>
                <w:rFonts w:hint="eastAsia"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1）交换容量≥670Gbps，包转发率≥200Mpps；</w:t>
            </w:r>
          </w:p>
          <w:p>
            <w:pPr>
              <w:widowControl/>
              <w:jc w:val="left"/>
              <w:textAlignment w:val="center"/>
              <w:rPr>
                <w:rFonts w:hint="eastAsia"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2）≥48个10/100/1000BASE-T电口，≥4个1/2.5/10GE SFP+端口；</w:t>
            </w:r>
          </w:p>
          <w:p>
            <w:pPr>
              <w:widowControl/>
              <w:jc w:val="left"/>
              <w:textAlignment w:val="center"/>
              <w:rPr>
                <w:rFonts w:hint="eastAsia"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3）配置≥4个万兆多模光模块。</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台</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7</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Al业务交换机</w:t>
            </w:r>
          </w:p>
        </w:tc>
        <w:tc>
          <w:tcPr>
            <w:tcW w:w="2980" w:type="pct"/>
            <w:tcBorders>
              <w:tl2br w:val="nil"/>
              <w:tr2bl w:val="nil"/>
            </w:tcBorders>
            <w:shd w:val="clear" w:color="auto" w:fill="auto"/>
            <w:noWrap/>
            <w:vAlign w:val="center"/>
          </w:tcPr>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1）交换容量≥4.</w:t>
            </w:r>
            <w:r>
              <w:rPr>
                <w:rFonts w:ascii="楷体_GB2312" w:hAnsi="楷体" w:eastAsia="楷体_GB2312" w:cs="楷体"/>
                <w:color w:val="auto"/>
                <w:kern w:val="0"/>
                <w:szCs w:val="21"/>
                <w:highlight w:val="none"/>
                <w:lang w:bidi="ar"/>
              </w:rPr>
              <w:t>7</w:t>
            </w:r>
            <w:r>
              <w:rPr>
                <w:rFonts w:hint="eastAsia" w:ascii="楷体_GB2312" w:hAnsi="楷体" w:eastAsia="楷体_GB2312" w:cs="楷体"/>
                <w:color w:val="auto"/>
                <w:kern w:val="0"/>
                <w:szCs w:val="21"/>
                <w:highlight w:val="none"/>
                <w:lang w:bidi="ar"/>
              </w:rPr>
              <w:t>Tbps，包转发率≥</w:t>
            </w:r>
            <w:r>
              <w:rPr>
                <w:rFonts w:ascii="楷体_GB2312" w:hAnsi="楷体" w:eastAsia="楷体_GB2312" w:cs="楷体"/>
                <w:color w:val="auto"/>
                <w:kern w:val="0"/>
                <w:szCs w:val="21"/>
                <w:highlight w:val="none"/>
                <w:lang w:bidi="ar"/>
              </w:rPr>
              <w:t>19</w:t>
            </w:r>
            <w:r>
              <w:rPr>
                <w:rFonts w:hint="eastAsia" w:ascii="楷体_GB2312" w:hAnsi="楷体" w:eastAsia="楷体_GB2312" w:cs="楷体"/>
                <w:color w:val="auto"/>
                <w:kern w:val="0"/>
                <w:szCs w:val="21"/>
                <w:highlight w:val="none"/>
                <w:lang w:bidi="ar"/>
              </w:rPr>
              <w:t>00Mpps；</w:t>
            </w:r>
          </w:p>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2）≥48个1/10GE SFP+端口，≥6个40/100GE QSFP28端口；</w:t>
            </w:r>
          </w:p>
          <w:p>
            <w:pPr>
              <w:widowControl/>
              <w:jc w:val="left"/>
              <w:textAlignment w:val="center"/>
              <w:rPr>
                <w:rFonts w:ascii="楷体_GB2312" w:hAnsi="楷体" w:eastAsia="楷体_GB2312" w:cs="楷体"/>
                <w:color w:val="auto"/>
                <w:szCs w:val="21"/>
                <w:highlight w:val="none"/>
              </w:rPr>
            </w:pPr>
            <w:r>
              <w:rPr>
                <w:rFonts w:ascii="楷体_GB2312" w:hAnsi="楷体" w:eastAsia="楷体_GB2312" w:cs="楷体"/>
                <w:color w:val="auto"/>
                <w:kern w:val="0"/>
                <w:szCs w:val="21"/>
                <w:highlight w:val="none"/>
                <w:lang w:bidi="ar"/>
              </w:rPr>
              <w:t>3</w:t>
            </w:r>
            <w:r>
              <w:rPr>
                <w:rFonts w:hint="eastAsia" w:ascii="楷体_GB2312" w:hAnsi="楷体" w:eastAsia="楷体_GB2312" w:cs="楷体"/>
                <w:color w:val="auto"/>
                <w:kern w:val="0"/>
                <w:szCs w:val="21"/>
                <w:highlight w:val="none"/>
                <w:lang w:bidi="ar"/>
              </w:rPr>
              <w:t>）配置双电源，≥五风扇框；配置≥24个万兆多模光模块，≥1个40G QSFP+ 5m电缆。</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台</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8</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SAN交换机单模光模块</w:t>
            </w:r>
          </w:p>
        </w:tc>
        <w:tc>
          <w:tcPr>
            <w:tcW w:w="2980"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在现有的4台SAN交换机上配置≥8个32Gb 单模光模块。</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项</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30" w:type="pct"/>
            <w:tcBorders>
              <w:tl2br w:val="nil"/>
              <w:tr2bl w:val="nil"/>
            </w:tcBorders>
            <w:shd w:val="clear" w:color="000000" w:fill="D9D9D9"/>
            <w:noWrap/>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二</w:t>
            </w:r>
          </w:p>
        </w:tc>
        <w:tc>
          <w:tcPr>
            <w:tcW w:w="879" w:type="pct"/>
            <w:tcBorders>
              <w:tl2br w:val="nil"/>
              <w:tr2bl w:val="nil"/>
            </w:tcBorders>
            <w:shd w:val="clear" w:color="000000" w:fill="D9D9D9"/>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安全设备建设</w:t>
            </w:r>
          </w:p>
        </w:tc>
        <w:tc>
          <w:tcPr>
            <w:tcW w:w="2980" w:type="pct"/>
            <w:tcBorders>
              <w:tl2br w:val="nil"/>
              <w:tr2bl w:val="nil"/>
            </w:tcBorders>
            <w:shd w:val="clear" w:color="000000" w:fill="D9D9D9"/>
            <w:vAlign w:val="center"/>
          </w:tcPr>
          <w:p>
            <w:pPr>
              <w:widowControl/>
              <w:jc w:val="left"/>
              <w:textAlignment w:val="center"/>
              <w:rPr>
                <w:rFonts w:ascii="楷体_GB2312" w:hAnsi="楷体" w:eastAsia="楷体_GB2312" w:cs="楷体"/>
                <w:b/>
                <w:bCs/>
                <w:color w:val="auto"/>
                <w:szCs w:val="21"/>
                <w:highlight w:val="none"/>
              </w:rPr>
            </w:pPr>
            <w:r>
              <w:rPr>
                <w:rFonts w:hint="eastAsia" w:ascii="楷体_GB2312" w:hAnsi="楷体" w:eastAsia="楷体_GB2312" w:cs="楷体"/>
                <w:b/>
                <w:bCs/>
                <w:color w:val="auto"/>
                <w:kern w:val="0"/>
                <w:szCs w:val="21"/>
                <w:highlight w:val="none"/>
                <w:lang w:bidi="ar"/>
              </w:rPr>
              <w:t>　</w:t>
            </w:r>
          </w:p>
        </w:tc>
        <w:tc>
          <w:tcPr>
            <w:tcW w:w="359" w:type="pct"/>
            <w:tcBorders>
              <w:tl2br w:val="nil"/>
              <w:tr2bl w:val="nil"/>
            </w:tcBorders>
            <w:shd w:val="clear" w:color="000000" w:fill="D9D9D9"/>
            <w:vAlign w:val="center"/>
          </w:tcPr>
          <w:p>
            <w:pPr>
              <w:widowControl/>
              <w:jc w:val="center"/>
              <w:textAlignment w:val="center"/>
              <w:rPr>
                <w:rFonts w:ascii="楷体_GB2312" w:hAnsi="楷体" w:eastAsia="楷体_GB2312" w:cs="楷体"/>
                <w:b/>
                <w:bCs/>
                <w:color w:val="auto"/>
                <w:szCs w:val="21"/>
                <w:highlight w:val="none"/>
              </w:rPr>
            </w:pPr>
            <w:r>
              <w:rPr>
                <w:rFonts w:hint="eastAsia" w:ascii="楷体_GB2312" w:hAnsi="楷体" w:eastAsia="楷体_GB2312" w:cs="楷体"/>
                <w:b/>
                <w:bCs/>
                <w:color w:val="auto"/>
                <w:kern w:val="0"/>
                <w:szCs w:val="21"/>
                <w:highlight w:val="none"/>
                <w:lang w:bidi="ar"/>
              </w:rPr>
              <w:t>　</w:t>
            </w:r>
          </w:p>
        </w:tc>
        <w:tc>
          <w:tcPr>
            <w:tcW w:w="352" w:type="pct"/>
            <w:tcBorders>
              <w:tl2br w:val="nil"/>
              <w:tr2bl w:val="nil"/>
            </w:tcBorders>
            <w:shd w:val="clear" w:color="000000" w:fill="D9D9D9"/>
            <w:vAlign w:val="center"/>
          </w:tcPr>
          <w:p>
            <w:pPr>
              <w:widowControl/>
              <w:jc w:val="center"/>
              <w:textAlignment w:val="center"/>
              <w:rPr>
                <w:rFonts w:ascii="楷体_GB2312" w:hAnsi="楷体" w:eastAsia="楷体_GB2312" w:cs="楷体"/>
                <w:b/>
                <w:bCs/>
                <w:color w:val="auto"/>
                <w:szCs w:val="21"/>
                <w:highlight w:val="none"/>
              </w:rPr>
            </w:pPr>
            <w:r>
              <w:rPr>
                <w:rFonts w:hint="eastAsia" w:ascii="楷体_GB2312" w:hAnsi="楷体" w:eastAsia="楷体_GB2312" w:cs="楷体"/>
                <w:b/>
                <w:bCs/>
                <w:color w:val="auto"/>
                <w:kern w:val="0"/>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1</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出口防火墙（政务外网）</w:t>
            </w:r>
          </w:p>
        </w:tc>
        <w:tc>
          <w:tcPr>
            <w:tcW w:w="2980" w:type="pct"/>
            <w:tcBorders>
              <w:tl2br w:val="nil"/>
              <w:tr2bl w:val="nil"/>
            </w:tcBorders>
            <w:shd w:val="clear" w:color="auto" w:fill="auto"/>
            <w:noWrap/>
            <w:vAlign w:val="center"/>
          </w:tcPr>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1）网络层吞吐量≥</w:t>
            </w:r>
            <w:r>
              <w:rPr>
                <w:rFonts w:hint="eastAsia" w:ascii="楷体_GB2312" w:hAnsi="楷体" w:eastAsia="楷体_GB2312" w:cs="楷体"/>
                <w:color w:val="auto"/>
                <w:kern w:val="0"/>
                <w:szCs w:val="21"/>
                <w:highlight w:val="none"/>
                <w:lang w:val="en-US" w:eastAsia="zh-CN" w:bidi="ar"/>
              </w:rPr>
              <w:t>1</w:t>
            </w:r>
            <w:r>
              <w:rPr>
                <w:rFonts w:ascii="楷体_GB2312" w:hAnsi="楷体" w:eastAsia="楷体_GB2312" w:cs="楷体"/>
                <w:color w:val="auto"/>
                <w:kern w:val="0"/>
                <w:szCs w:val="21"/>
                <w:highlight w:val="none"/>
                <w:lang w:bidi="ar"/>
              </w:rPr>
              <w:t>5</w:t>
            </w:r>
            <w:r>
              <w:rPr>
                <w:rFonts w:hint="eastAsia" w:ascii="楷体_GB2312" w:hAnsi="楷体" w:eastAsia="楷体_GB2312" w:cs="楷体"/>
                <w:color w:val="auto"/>
                <w:kern w:val="0"/>
                <w:szCs w:val="21"/>
                <w:highlight w:val="none"/>
                <w:lang w:bidi="ar"/>
              </w:rPr>
              <w:t>Gbps，应用层吞吐量≥</w:t>
            </w:r>
            <w:r>
              <w:rPr>
                <w:rFonts w:ascii="楷体_GB2312" w:hAnsi="楷体" w:eastAsia="楷体_GB2312" w:cs="楷体"/>
                <w:color w:val="auto"/>
                <w:kern w:val="0"/>
                <w:szCs w:val="21"/>
                <w:highlight w:val="none"/>
                <w:lang w:bidi="ar"/>
              </w:rPr>
              <w:t>9.5</w:t>
            </w:r>
            <w:r>
              <w:rPr>
                <w:rFonts w:hint="eastAsia" w:ascii="楷体_GB2312" w:hAnsi="楷体" w:eastAsia="楷体_GB2312" w:cs="楷体"/>
                <w:color w:val="auto"/>
                <w:kern w:val="0"/>
                <w:szCs w:val="21"/>
                <w:highlight w:val="none"/>
                <w:lang w:bidi="ar"/>
              </w:rPr>
              <w:t>Gbps，并发会话数≥</w:t>
            </w:r>
            <w:r>
              <w:rPr>
                <w:rFonts w:ascii="楷体_GB2312" w:hAnsi="楷体" w:eastAsia="楷体_GB2312" w:cs="楷体"/>
                <w:color w:val="auto"/>
                <w:kern w:val="0"/>
                <w:szCs w:val="21"/>
                <w:highlight w:val="none"/>
                <w:lang w:bidi="ar"/>
              </w:rPr>
              <w:t>49</w:t>
            </w:r>
            <w:r>
              <w:rPr>
                <w:rFonts w:hint="eastAsia" w:ascii="楷体_GB2312" w:hAnsi="楷体" w:eastAsia="楷体_GB2312" w:cs="楷体"/>
                <w:color w:val="auto"/>
                <w:kern w:val="0"/>
                <w:szCs w:val="21"/>
                <w:highlight w:val="none"/>
                <w:lang w:bidi="ar"/>
              </w:rPr>
              <w:t>0万，每秒新建连接数≥</w:t>
            </w:r>
            <w:r>
              <w:rPr>
                <w:rFonts w:ascii="楷体_GB2312" w:hAnsi="楷体" w:eastAsia="楷体_GB2312" w:cs="楷体"/>
                <w:color w:val="auto"/>
                <w:kern w:val="0"/>
                <w:szCs w:val="21"/>
                <w:highlight w:val="none"/>
                <w:lang w:bidi="ar"/>
              </w:rPr>
              <w:t>9.8</w:t>
            </w:r>
            <w:r>
              <w:rPr>
                <w:rFonts w:hint="eastAsia" w:ascii="楷体_GB2312" w:hAnsi="楷体" w:eastAsia="楷体_GB2312" w:cs="楷体"/>
                <w:color w:val="auto"/>
                <w:kern w:val="0"/>
                <w:szCs w:val="21"/>
                <w:highlight w:val="none"/>
                <w:lang w:bidi="ar"/>
              </w:rPr>
              <w:t>万；</w:t>
            </w:r>
            <w:r>
              <w:rPr>
                <w:rFonts w:ascii="楷体_GB2312" w:hAnsi="楷体" w:eastAsia="楷体_GB2312" w:cs="楷体"/>
                <w:color w:val="auto"/>
                <w:kern w:val="0"/>
                <w:szCs w:val="21"/>
                <w:highlight w:val="none"/>
                <w:lang w:bidi="ar"/>
              </w:rPr>
              <w:t xml:space="preserve"> </w:t>
            </w:r>
          </w:p>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2）配置≥1</w:t>
            </w:r>
            <w:r>
              <w:rPr>
                <w:rFonts w:ascii="楷体_GB2312" w:hAnsi="楷体" w:eastAsia="楷体_GB2312" w:cs="楷体"/>
                <w:color w:val="auto"/>
                <w:kern w:val="0"/>
                <w:szCs w:val="21"/>
                <w:highlight w:val="none"/>
                <w:lang w:bidi="ar"/>
              </w:rPr>
              <w:t>5</w:t>
            </w:r>
            <w:r>
              <w:rPr>
                <w:rFonts w:hint="eastAsia" w:ascii="楷体_GB2312" w:hAnsi="楷体" w:eastAsia="楷体_GB2312" w:cs="楷体"/>
                <w:color w:val="auto"/>
                <w:kern w:val="0"/>
                <w:szCs w:val="21"/>
                <w:highlight w:val="none"/>
                <w:lang w:bidi="ar"/>
              </w:rPr>
              <w:t>个千兆电接口,≥</w:t>
            </w:r>
            <w:r>
              <w:rPr>
                <w:rFonts w:ascii="楷体_GB2312" w:hAnsi="楷体" w:eastAsia="楷体_GB2312" w:cs="楷体"/>
                <w:color w:val="auto"/>
                <w:kern w:val="0"/>
                <w:szCs w:val="21"/>
                <w:highlight w:val="none"/>
                <w:lang w:bidi="ar"/>
              </w:rPr>
              <w:t>3</w:t>
            </w:r>
            <w:r>
              <w:rPr>
                <w:rFonts w:hint="eastAsia" w:ascii="楷体_GB2312" w:hAnsi="楷体" w:eastAsia="楷体_GB2312" w:cs="楷体"/>
                <w:color w:val="auto"/>
                <w:kern w:val="0"/>
                <w:szCs w:val="21"/>
                <w:highlight w:val="none"/>
                <w:lang w:bidi="ar"/>
              </w:rPr>
              <w:t>个千兆光接口,≥</w:t>
            </w:r>
            <w:r>
              <w:rPr>
                <w:rFonts w:ascii="楷体_GB2312" w:hAnsi="楷体" w:eastAsia="楷体_GB2312" w:cs="楷体"/>
                <w:color w:val="auto"/>
                <w:kern w:val="0"/>
                <w:szCs w:val="21"/>
                <w:highlight w:val="none"/>
                <w:lang w:bidi="ar"/>
              </w:rPr>
              <w:t>3</w:t>
            </w:r>
            <w:r>
              <w:rPr>
                <w:rFonts w:hint="eastAsia" w:ascii="楷体_GB2312" w:hAnsi="楷体" w:eastAsia="楷体_GB2312" w:cs="楷体"/>
                <w:color w:val="auto"/>
                <w:kern w:val="0"/>
                <w:szCs w:val="21"/>
                <w:highlight w:val="none"/>
                <w:lang w:bidi="ar"/>
              </w:rPr>
              <w:t>个万兆光接口,≥4个Combo电接口,≥2个扩展槽位,1个管理接口,2个USB接口,1个Console接口；</w:t>
            </w:r>
          </w:p>
          <w:p>
            <w:pPr>
              <w:widowControl/>
              <w:jc w:val="left"/>
              <w:textAlignment w:val="center"/>
              <w:rPr>
                <w:rFonts w:ascii="楷体_GB2312" w:hAnsi="楷体" w:eastAsia="楷体_GB2312" w:cs="楷体"/>
                <w:color w:val="auto"/>
                <w:szCs w:val="21"/>
                <w:highlight w:val="none"/>
              </w:rPr>
            </w:pPr>
            <w:r>
              <w:rPr>
                <w:rFonts w:ascii="楷体_GB2312" w:hAnsi="楷体" w:eastAsia="楷体_GB2312" w:cs="楷体"/>
                <w:color w:val="auto"/>
                <w:kern w:val="0"/>
                <w:szCs w:val="21"/>
                <w:highlight w:val="none"/>
                <w:lang w:bidi="ar"/>
              </w:rPr>
              <w:t>3</w:t>
            </w:r>
            <w:r>
              <w:rPr>
                <w:rFonts w:hint="eastAsia" w:ascii="楷体_GB2312" w:hAnsi="楷体" w:eastAsia="楷体_GB2312" w:cs="楷体"/>
                <w:color w:val="auto"/>
                <w:kern w:val="0"/>
                <w:szCs w:val="21"/>
                <w:highlight w:val="none"/>
                <w:lang w:bidi="ar"/>
              </w:rPr>
              <w:t>）配置≥5年入侵防御、防病毒特征库授权。</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台</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2</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出口边界防火墙（互联网区）</w:t>
            </w:r>
          </w:p>
        </w:tc>
        <w:tc>
          <w:tcPr>
            <w:tcW w:w="2980" w:type="pct"/>
            <w:tcBorders>
              <w:tl2br w:val="nil"/>
              <w:tr2bl w:val="nil"/>
            </w:tcBorders>
            <w:shd w:val="clear" w:color="auto" w:fill="auto"/>
            <w:noWrap/>
            <w:vAlign w:val="center"/>
          </w:tcPr>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1）网络层吞吐量≥</w:t>
            </w:r>
            <w:r>
              <w:rPr>
                <w:rFonts w:hint="eastAsia" w:ascii="楷体_GB2312" w:hAnsi="楷体" w:eastAsia="楷体_GB2312" w:cs="楷体"/>
                <w:color w:val="auto"/>
                <w:kern w:val="0"/>
                <w:szCs w:val="21"/>
                <w:highlight w:val="none"/>
                <w:lang w:val="en-US" w:eastAsia="zh-CN" w:bidi="ar"/>
              </w:rPr>
              <w:t>1</w:t>
            </w:r>
            <w:r>
              <w:rPr>
                <w:rFonts w:ascii="楷体_GB2312" w:hAnsi="楷体" w:eastAsia="楷体_GB2312" w:cs="楷体"/>
                <w:color w:val="auto"/>
                <w:kern w:val="0"/>
                <w:szCs w:val="21"/>
                <w:highlight w:val="none"/>
                <w:lang w:bidi="ar"/>
              </w:rPr>
              <w:t>5</w:t>
            </w:r>
            <w:r>
              <w:rPr>
                <w:rFonts w:hint="eastAsia" w:ascii="楷体_GB2312" w:hAnsi="楷体" w:eastAsia="楷体_GB2312" w:cs="楷体"/>
                <w:color w:val="auto"/>
                <w:kern w:val="0"/>
                <w:szCs w:val="21"/>
                <w:highlight w:val="none"/>
                <w:lang w:bidi="ar"/>
              </w:rPr>
              <w:t>Gbps，应用层吞吐量≥</w:t>
            </w:r>
            <w:r>
              <w:rPr>
                <w:rFonts w:ascii="楷体_GB2312" w:hAnsi="楷体" w:eastAsia="楷体_GB2312" w:cs="楷体"/>
                <w:color w:val="auto"/>
                <w:kern w:val="0"/>
                <w:szCs w:val="21"/>
                <w:highlight w:val="none"/>
                <w:lang w:bidi="ar"/>
              </w:rPr>
              <w:t>9.6</w:t>
            </w:r>
            <w:r>
              <w:rPr>
                <w:rFonts w:hint="eastAsia" w:ascii="楷体_GB2312" w:hAnsi="楷体" w:eastAsia="楷体_GB2312" w:cs="楷体"/>
                <w:color w:val="auto"/>
                <w:kern w:val="0"/>
                <w:szCs w:val="21"/>
                <w:highlight w:val="none"/>
                <w:lang w:bidi="ar"/>
              </w:rPr>
              <w:t>Gbps，并发会话数≥</w:t>
            </w:r>
            <w:r>
              <w:rPr>
                <w:rFonts w:ascii="楷体_GB2312" w:hAnsi="楷体" w:eastAsia="楷体_GB2312" w:cs="楷体"/>
                <w:color w:val="auto"/>
                <w:kern w:val="0"/>
                <w:szCs w:val="21"/>
                <w:highlight w:val="none"/>
                <w:lang w:bidi="ar"/>
              </w:rPr>
              <w:t>490</w:t>
            </w:r>
            <w:r>
              <w:rPr>
                <w:rFonts w:hint="eastAsia" w:ascii="楷体_GB2312" w:hAnsi="楷体" w:eastAsia="楷体_GB2312" w:cs="楷体"/>
                <w:color w:val="auto"/>
                <w:kern w:val="0"/>
                <w:szCs w:val="21"/>
                <w:highlight w:val="none"/>
                <w:lang w:bidi="ar"/>
              </w:rPr>
              <w:t>万，每秒新建连接数≥9</w:t>
            </w:r>
            <w:r>
              <w:rPr>
                <w:rFonts w:ascii="楷体_GB2312" w:hAnsi="楷体" w:eastAsia="楷体_GB2312" w:cs="楷体"/>
                <w:color w:val="auto"/>
                <w:kern w:val="0"/>
                <w:szCs w:val="21"/>
                <w:highlight w:val="none"/>
                <w:lang w:bidi="ar"/>
              </w:rPr>
              <w:t>.8</w:t>
            </w:r>
            <w:r>
              <w:rPr>
                <w:rFonts w:hint="eastAsia" w:ascii="楷体_GB2312" w:hAnsi="楷体" w:eastAsia="楷体_GB2312" w:cs="楷体"/>
                <w:color w:val="auto"/>
                <w:kern w:val="0"/>
                <w:szCs w:val="21"/>
                <w:highlight w:val="none"/>
                <w:lang w:bidi="ar"/>
              </w:rPr>
              <w:t>万；</w:t>
            </w:r>
            <w:r>
              <w:rPr>
                <w:rFonts w:ascii="楷体_GB2312" w:hAnsi="楷体" w:eastAsia="楷体_GB2312" w:cs="楷体"/>
                <w:color w:val="auto"/>
                <w:kern w:val="0"/>
                <w:szCs w:val="21"/>
                <w:highlight w:val="none"/>
                <w:lang w:bidi="ar"/>
              </w:rPr>
              <w:t xml:space="preserve"> </w:t>
            </w:r>
          </w:p>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2）配置≥1</w:t>
            </w:r>
            <w:r>
              <w:rPr>
                <w:rFonts w:ascii="楷体_GB2312" w:hAnsi="楷体" w:eastAsia="楷体_GB2312" w:cs="楷体"/>
                <w:color w:val="auto"/>
                <w:kern w:val="0"/>
                <w:szCs w:val="21"/>
                <w:highlight w:val="none"/>
                <w:lang w:bidi="ar"/>
              </w:rPr>
              <w:t>5</w:t>
            </w:r>
            <w:r>
              <w:rPr>
                <w:rFonts w:hint="eastAsia" w:ascii="楷体_GB2312" w:hAnsi="楷体" w:eastAsia="楷体_GB2312" w:cs="楷体"/>
                <w:color w:val="auto"/>
                <w:kern w:val="0"/>
                <w:szCs w:val="21"/>
                <w:highlight w:val="none"/>
                <w:lang w:bidi="ar"/>
              </w:rPr>
              <w:t>个千兆电接口,≥</w:t>
            </w:r>
            <w:r>
              <w:rPr>
                <w:rFonts w:ascii="楷体_GB2312" w:hAnsi="楷体" w:eastAsia="楷体_GB2312" w:cs="楷体"/>
                <w:color w:val="auto"/>
                <w:kern w:val="0"/>
                <w:szCs w:val="21"/>
                <w:highlight w:val="none"/>
                <w:lang w:bidi="ar"/>
              </w:rPr>
              <w:t>3</w:t>
            </w:r>
            <w:r>
              <w:rPr>
                <w:rFonts w:hint="eastAsia" w:ascii="楷体_GB2312" w:hAnsi="楷体" w:eastAsia="楷体_GB2312" w:cs="楷体"/>
                <w:color w:val="auto"/>
                <w:kern w:val="0"/>
                <w:szCs w:val="21"/>
                <w:highlight w:val="none"/>
                <w:lang w:bidi="ar"/>
              </w:rPr>
              <w:t>个千兆光接口,≥6个万兆光接口,≥4个Combo电接口,≥2个扩展槽位,1个管理接口,2个USB接口,1个Console接口；</w:t>
            </w:r>
          </w:p>
          <w:p>
            <w:pPr>
              <w:widowControl/>
              <w:jc w:val="left"/>
              <w:textAlignment w:val="center"/>
              <w:rPr>
                <w:rFonts w:ascii="楷体_GB2312" w:hAnsi="楷体" w:eastAsia="楷体_GB2312" w:cs="楷体"/>
                <w:color w:val="auto"/>
                <w:szCs w:val="21"/>
                <w:highlight w:val="none"/>
              </w:rPr>
            </w:pPr>
            <w:r>
              <w:rPr>
                <w:rFonts w:ascii="楷体_GB2312" w:hAnsi="楷体" w:eastAsia="楷体_GB2312" w:cs="楷体"/>
                <w:color w:val="auto"/>
                <w:kern w:val="0"/>
                <w:szCs w:val="21"/>
                <w:highlight w:val="none"/>
                <w:lang w:bidi="ar"/>
              </w:rPr>
              <w:t>3</w:t>
            </w:r>
            <w:r>
              <w:rPr>
                <w:rFonts w:hint="eastAsia" w:ascii="楷体_GB2312" w:hAnsi="楷体" w:eastAsia="楷体_GB2312" w:cs="楷体"/>
                <w:color w:val="auto"/>
                <w:kern w:val="0"/>
                <w:szCs w:val="21"/>
                <w:highlight w:val="none"/>
                <w:lang w:bidi="ar"/>
              </w:rPr>
              <w:t>）配置≥2*1.92TB SSD硬盘，≥5年入侵防御、防病毒特征库授权。</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台</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3</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服务器区边界防火墙（政务外网）</w:t>
            </w:r>
          </w:p>
        </w:tc>
        <w:tc>
          <w:tcPr>
            <w:tcW w:w="2980" w:type="pct"/>
            <w:tcBorders>
              <w:tl2br w:val="nil"/>
              <w:tr2bl w:val="nil"/>
            </w:tcBorders>
            <w:shd w:val="clear" w:color="auto" w:fill="auto"/>
            <w:noWrap/>
            <w:vAlign w:val="center"/>
          </w:tcPr>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1）网络层吞吐量≥</w:t>
            </w:r>
            <w:r>
              <w:rPr>
                <w:rFonts w:ascii="楷体_GB2312" w:hAnsi="楷体" w:eastAsia="楷体_GB2312" w:cs="楷体"/>
                <w:color w:val="auto"/>
                <w:kern w:val="0"/>
                <w:szCs w:val="21"/>
                <w:highlight w:val="none"/>
                <w:lang w:bidi="ar"/>
              </w:rPr>
              <w:t>29</w:t>
            </w:r>
            <w:r>
              <w:rPr>
                <w:rFonts w:hint="eastAsia" w:ascii="楷体_GB2312" w:hAnsi="楷体" w:eastAsia="楷体_GB2312" w:cs="楷体"/>
                <w:color w:val="auto"/>
                <w:kern w:val="0"/>
                <w:szCs w:val="21"/>
                <w:highlight w:val="none"/>
                <w:lang w:bidi="ar"/>
              </w:rPr>
              <w:t>Gbps，并发连接数≥1</w:t>
            </w:r>
            <w:r>
              <w:rPr>
                <w:rFonts w:ascii="楷体_GB2312" w:hAnsi="楷体" w:eastAsia="楷体_GB2312" w:cs="楷体"/>
                <w:color w:val="auto"/>
                <w:kern w:val="0"/>
                <w:szCs w:val="21"/>
                <w:highlight w:val="none"/>
                <w:lang w:bidi="ar"/>
              </w:rPr>
              <w:t>5</w:t>
            </w:r>
            <w:r>
              <w:rPr>
                <w:rFonts w:hint="eastAsia" w:ascii="楷体_GB2312" w:hAnsi="楷体" w:eastAsia="楷体_GB2312" w:cs="楷体"/>
                <w:color w:val="auto"/>
                <w:kern w:val="0"/>
                <w:szCs w:val="21"/>
                <w:highlight w:val="none"/>
                <w:lang w:bidi="ar"/>
              </w:rPr>
              <w:t>00万，每秒新建连接数≥</w:t>
            </w:r>
            <w:r>
              <w:rPr>
                <w:rFonts w:ascii="楷体_GB2312" w:hAnsi="楷体" w:eastAsia="楷体_GB2312" w:cs="楷体"/>
                <w:color w:val="auto"/>
                <w:kern w:val="0"/>
                <w:szCs w:val="21"/>
                <w:highlight w:val="none"/>
                <w:lang w:bidi="ar"/>
              </w:rPr>
              <w:t>49</w:t>
            </w:r>
            <w:r>
              <w:rPr>
                <w:rFonts w:hint="eastAsia" w:ascii="楷体_GB2312" w:hAnsi="楷体" w:eastAsia="楷体_GB2312" w:cs="楷体"/>
                <w:color w:val="auto"/>
                <w:kern w:val="0"/>
                <w:szCs w:val="21"/>
                <w:highlight w:val="none"/>
                <w:lang w:bidi="ar"/>
              </w:rPr>
              <w:t>万；</w:t>
            </w:r>
          </w:p>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2）配置≥</w:t>
            </w:r>
            <w:r>
              <w:rPr>
                <w:rFonts w:ascii="楷体_GB2312" w:hAnsi="楷体" w:eastAsia="楷体_GB2312" w:cs="楷体"/>
                <w:color w:val="auto"/>
                <w:kern w:val="0"/>
                <w:szCs w:val="21"/>
                <w:highlight w:val="none"/>
                <w:lang w:bidi="ar"/>
              </w:rPr>
              <w:t>6</w:t>
            </w:r>
            <w:r>
              <w:rPr>
                <w:rFonts w:hint="eastAsia" w:ascii="楷体_GB2312" w:hAnsi="楷体" w:eastAsia="楷体_GB2312" w:cs="楷体"/>
                <w:color w:val="auto"/>
                <w:kern w:val="0"/>
                <w:szCs w:val="21"/>
                <w:highlight w:val="none"/>
                <w:lang w:bidi="ar"/>
              </w:rPr>
              <w:t>个千兆电接口,≥</w:t>
            </w:r>
            <w:r>
              <w:rPr>
                <w:rFonts w:ascii="楷体_GB2312" w:hAnsi="楷体" w:eastAsia="楷体_GB2312" w:cs="楷体"/>
                <w:color w:val="auto"/>
                <w:kern w:val="0"/>
                <w:szCs w:val="21"/>
                <w:highlight w:val="none"/>
                <w:lang w:bidi="ar"/>
              </w:rPr>
              <w:t>6</w:t>
            </w:r>
            <w:r>
              <w:rPr>
                <w:rFonts w:hint="eastAsia" w:ascii="楷体_GB2312" w:hAnsi="楷体" w:eastAsia="楷体_GB2312" w:cs="楷体"/>
                <w:color w:val="auto"/>
                <w:kern w:val="0"/>
                <w:szCs w:val="21"/>
                <w:highlight w:val="none"/>
                <w:lang w:bidi="ar"/>
              </w:rPr>
              <w:t>个万兆光接口,1个管理接口,2个USB接口,1个Console接口,≥</w:t>
            </w:r>
            <w:r>
              <w:rPr>
                <w:rFonts w:ascii="楷体_GB2312" w:hAnsi="楷体" w:eastAsia="楷体_GB2312" w:cs="楷体"/>
                <w:color w:val="auto"/>
                <w:kern w:val="0"/>
                <w:szCs w:val="21"/>
                <w:highlight w:val="none"/>
                <w:lang w:bidi="ar"/>
              </w:rPr>
              <w:t>5</w:t>
            </w:r>
            <w:r>
              <w:rPr>
                <w:rFonts w:hint="eastAsia" w:ascii="楷体_GB2312" w:hAnsi="楷体" w:eastAsia="楷体_GB2312" w:cs="楷体"/>
                <w:color w:val="auto"/>
                <w:kern w:val="0"/>
                <w:szCs w:val="21"/>
                <w:highlight w:val="none"/>
                <w:lang w:bidi="ar"/>
              </w:rPr>
              <w:t>个扩展槽位；</w:t>
            </w:r>
          </w:p>
          <w:p>
            <w:pPr>
              <w:widowControl/>
              <w:jc w:val="left"/>
              <w:textAlignment w:val="center"/>
              <w:rPr>
                <w:rFonts w:ascii="楷体_GB2312" w:hAnsi="楷体" w:eastAsia="楷体_GB2312" w:cs="楷体"/>
                <w:color w:val="auto"/>
                <w:szCs w:val="21"/>
                <w:highlight w:val="none"/>
              </w:rPr>
            </w:pPr>
            <w:r>
              <w:rPr>
                <w:rFonts w:ascii="楷体_GB2312" w:hAnsi="楷体" w:eastAsia="楷体_GB2312" w:cs="楷体"/>
                <w:color w:val="auto"/>
                <w:kern w:val="0"/>
                <w:szCs w:val="21"/>
                <w:highlight w:val="none"/>
                <w:lang w:bidi="ar"/>
              </w:rPr>
              <w:t>3</w:t>
            </w:r>
            <w:r>
              <w:rPr>
                <w:rFonts w:hint="eastAsia" w:ascii="楷体_GB2312" w:hAnsi="楷体" w:eastAsia="楷体_GB2312" w:cs="楷体"/>
                <w:color w:val="auto"/>
                <w:kern w:val="0"/>
                <w:szCs w:val="21"/>
                <w:highlight w:val="none"/>
                <w:lang w:bidi="ar"/>
              </w:rPr>
              <w:t>）≥5年WAF特征库升级授权，冗余电源。</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台</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4</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方正楷体_GB2312" w:eastAsia="楷体_GB2312" w:cs="方正楷体_GB2312"/>
                <w:color w:val="auto"/>
                <w:kern w:val="0"/>
                <w:szCs w:val="21"/>
                <w:highlight w:val="none"/>
                <w:lang w:bidi="ar"/>
              </w:rPr>
              <w:t>数据</w:t>
            </w:r>
            <w:r>
              <w:rPr>
                <w:rFonts w:hint="eastAsia" w:ascii="楷体_GB2312" w:hAnsi="微软雅黑" w:eastAsia="楷体_GB2312" w:cs="微软雅黑"/>
                <w:color w:val="auto"/>
                <w:kern w:val="0"/>
                <w:szCs w:val="21"/>
                <w:highlight w:val="none"/>
                <w:lang w:bidi="ar"/>
              </w:rPr>
              <w:t>访</w:t>
            </w:r>
            <w:r>
              <w:rPr>
                <w:rFonts w:hint="eastAsia" w:ascii="楷体_GB2312" w:hAnsi="___WRD_EMBED_SUB_47" w:eastAsia="楷体_GB2312" w:cs="___WRD_EMBED_SUB_47"/>
                <w:color w:val="auto"/>
                <w:kern w:val="0"/>
                <w:szCs w:val="21"/>
                <w:highlight w:val="none"/>
                <w:lang w:bidi="ar"/>
              </w:rPr>
              <w:t>问管控平台</w:t>
            </w:r>
          </w:p>
        </w:tc>
        <w:tc>
          <w:tcPr>
            <w:tcW w:w="2980" w:type="pct"/>
            <w:tcBorders>
              <w:tl2br w:val="nil"/>
              <w:tr2bl w:val="nil"/>
            </w:tcBorders>
            <w:shd w:val="clear" w:color="auto" w:fill="auto"/>
            <w:noWrap/>
            <w:vAlign w:val="center"/>
          </w:tcPr>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1）纯数据库流量≥40Mbps,SQL峰值吞吐量≥4000条/秒,在线会话≥1500个；</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1</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0" w:type="pct"/>
            <w:tcBorders>
              <w:tl2br w:val="nil"/>
              <w:tr2bl w:val="nil"/>
            </w:tcBorders>
            <w:shd w:val="clear" w:color="000000" w:fill="D9D9D9"/>
            <w:noWrap/>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三</w:t>
            </w:r>
          </w:p>
        </w:tc>
        <w:tc>
          <w:tcPr>
            <w:tcW w:w="879" w:type="pct"/>
            <w:tcBorders>
              <w:tl2br w:val="nil"/>
              <w:tr2bl w:val="nil"/>
            </w:tcBorders>
            <w:shd w:val="clear" w:color="000000" w:fill="D9D9D9"/>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系统软件及运维平台授权扩容</w:t>
            </w:r>
          </w:p>
        </w:tc>
        <w:tc>
          <w:tcPr>
            <w:tcW w:w="2980" w:type="pct"/>
            <w:tcBorders>
              <w:tl2br w:val="nil"/>
              <w:tr2bl w:val="nil"/>
            </w:tcBorders>
            <w:shd w:val="clear" w:color="000000" w:fill="D9D9D9"/>
            <w:vAlign w:val="center"/>
          </w:tcPr>
          <w:p>
            <w:pPr>
              <w:widowControl/>
              <w:jc w:val="left"/>
              <w:textAlignment w:val="center"/>
              <w:rPr>
                <w:rFonts w:ascii="楷体_GB2312" w:hAnsi="楷体" w:eastAsia="楷体_GB2312" w:cs="楷体"/>
                <w:b/>
                <w:bCs/>
                <w:color w:val="auto"/>
                <w:szCs w:val="21"/>
                <w:highlight w:val="none"/>
              </w:rPr>
            </w:pPr>
            <w:r>
              <w:rPr>
                <w:rFonts w:hint="eastAsia" w:ascii="楷体_GB2312" w:hAnsi="楷体" w:eastAsia="楷体_GB2312" w:cs="楷体"/>
                <w:b/>
                <w:bCs/>
                <w:color w:val="auto"/>
                <w:kern w:val="0"/>
                <w:szCs w:val="21"/>
                <w:highlight w:val="none"/>
                <w:lang w:bidi="ar"/>
              </w:rPr>
              <w:t>　</w:t>
            </w:r>
          </w:p>
        </w:tc>
        <w:tc>
          <w:tcPr>
            <w:tcW w:w="359" w:type="pct"/>
            <w:tcBorders>
              <w:tl2br w:val="nil"/>
              <w:tr2bl w:val="nil"/>
            </w:tcBorders>
            <w:shd w:val="clear" w:color="000000" w:fill="D9D9D9"/>
            <w:vAlign w:val="center"/>
          </w:tcPr>
          <w:p>
            <w:pPr>
              <w:widowControl/>
              <w:jc w:val="center"/>
              <w:textAlignment w:val="center"/>
              <w:rPr>
                <w:rFonts w:ascii="楷体_GB2312" w:hAnsi="楷体" w:eastAsia="楷体_GB2312" w:cs="楷体"/>
                <w:b/>
                <w:bCs/>
                <w:color w:val="auto"/>
                <w:szCs w:val="21"/>
                <w:highlight w:val="none"/>
              </w:rPr>
            </w:pPr>
            <w:r>
              <w:rPr>
                <w:rFonts w:hint="eastAsia" w:ascii="楷体_GB2312" w:hAnsi="楷体" w:eastAsia="楷体_GB2312" w:cs="楷体"/>
                <w:b/>
                <w:bCs/>
                <w:color w:val="auto"/>
                <w:kern w:val="0"/>
                <w:szCs w:val="21"/>
                <w:highlight w:val="none"/>
                <w:lang w:bidi="ar"/>
              </w:rPr>
              <w:t>　</w:t>
            </w:r>
          </w:p>
        </w:tc>
        <w:tc>
          <w:tcPr>
            <w:tcW w:w="352" w:type="pct"/>
            <w:tcBorders>
              <w:tl2br w:val="nil"/>
              <w:tr2bl w:val="nil"/>
            </w:tcBorders>
            <w:shd w:val="clear" w:color="000000" w:fill="D9D9D9"/>
            <w:vAlign w:val="center"/>
          </w:tcPr>
          <w:p>
            <w:pPr>
              <w:widowControl/>
              <w:jc w:val="center"/>
              <w:textAlignment w:val="center"/>
              <w:rPr>
                <w:rFonts w:ascii="楷体_GB2312" w:hAnsi="楷体" w:eastAsia="楷体_GB2312" w:cs="楷体"/>
                <w:b/>
                <w:bCs/>
                <w:color w:val="auto"/>
                <w:szCs w:val="21"/>
                <w:highlight w:val="none"/>
              </w:rPr>
            </w:pPr>
            <w:r>
              <w:rPr>
                <w:rFonts w:hint="eastAsia" w:ascii="楷体_GB2312" w:hAnsi="楷体" w:eastAsia="楷体_GB2312" w:cs="楷体"/>
                <w:b/>
                <w:bCs/>
                <w:color w:val="auto"/>
                <w:kern w:val="0"/>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1</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授权扩容-一体化运维管理系统</w:t>
            </w:r>
          </w:p>
        </w:tc>
        <w:tc>
          <w:tcPr>
            <w:tcW w:w="2980"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在现有一体化运维管理系统基础上，扩容以下授权：</w:t>
            </w:r>
          </w:p>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1)网络设备管理≥50 License;</w:t>
            </w:r>
          </w:p>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2)智能分析报表授权函。</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项</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2</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操作系统/数据库</w:t>
            </w:r>
          </w:p>
        </w:tc>
        <w:tc>
          <w:tcPr>
            <w:tcW w:w="2980"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提供本项目涉及业务系统对应所需的信创服务器操作系统及信创数据库，满足采购单位软件安装需求。</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批</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30" w:type="pct"/>
            <w:tcBorders>
              <w:tl2br w:val="nil"/>
              <w:tr2bl w:val="nil"/>
            </w:tcBorders>
            <w:shd w:val="clear" w:color="000000" w:fill="D9D9D9"/>
            <w:noWrap/>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四</w:t>
            </w:r>
          </w:p>
        </w:tc>
        <w:tc>
          <w:tcPr>
            <w:tcW w:w="879" w:type="pct"/>
            <w:tcBorders>
              <w:tl2br w:val="nil"/>
              <w:tr2bl w:val="nil"/>
            </w:tcBorders>
            <w:shd w:val="clear" w:color="000000" w:fill="D9D9D9"/>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设备托管服务</w:t>
            </w:r>
          </w:p>
        </w:tc>
        <w:tc>
          <w:tcPr>
            <w:tcW w:w="2980" w:type="pct"/>
            <w:tcBorders>
              <w:tl2br w:val="nil"/>
              <w:tr2bl w:val="nil"/>
            </w:tcBorders>
            <w:shd w:val="clear" w:color="000000" w:fill="D9D9D9"/>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　</w:t>
            </w:r>
          </w:p>
        </w:tc>
        <w:tc>
          <w:tcPr>
            <w:tcW w:w="359" w:type="pct"/>
            <w:tcBorders>
              <w:tl2br w:val="nil"/>
              <w:tr2bl w:val="nil"/>
            </w:tcBorders>
            <w:shd w:val="clear" w:color="000000" w:fill="D9D9D9"/>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　</w:t>
            </w:r>
          </w:p>
        </w:tc>
        <w:tc>
          <w:tcPr>
            <w:tcW w:w="352" w:type="pct"/>
            <w:tcBorders>
              <w:tl2br w:val="nil"/>
              <w:tr2bl w:val="nil"/>
            </w:tcBorders>
            <w:shd w:val="clear" w:color="000000" w:fill="D9D9D9"/>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430"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1</w:t>
            </w:r>
          </w:p>
        </w:tc>
        <w:tc>
          <w:tcPr>
            <w:tcW w:w="879"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设备托管服务</w:t>
            </w:r>
          </w:p>
        </w:tc>
        <w:tc>
          <w:tcPr>
            <w:tcW w:w="2980" w:type="pct"/>
            <w:tcBorders>
              <w:tl2br w:val="nil"/>
              <w:tr2bl w:val="nil"/>
            </w:tcBorders>
            <w:shd w:val="clear" w:color="auto" w:fill="auto"/>
            <w:vAlign w:val="center"/>
          </w:tcPr>
          <w:p>
            <w:pPr>
              <w:widowControl/>
              <w:jc w:val="left"/>
              <w:textAlignment w:val="center"/>
              <w:rPr>
                <w:rFonts w:ascii="楷体_GB2312" w:hAnsi="楷体" w:eastAsia="楷体_GB2312" w:cs="楷体"/>
                <w:color w:val="auto"/>
                <w:kern w:val="0"/>
                <w:szCs w:val="21"/>
                <w:highlight w:val="none"/>
                <w:lang w:bidi="ar"/>
              </w:rPr>
            </w:pPr>
            <w:r>
              <w:rPr>
                <w:rFonts w:hint="eastAsia" w:ascii="楷体_GB2312" w:hAnsi="楷体" w:eastAsia="楷体_GB2312" w:cs="楷体"/>
                <w:color w:val="auto"/>
                <w:kern w:val="0"/>
                <w:szCs w:val="21"/>
                <w:highlight w:val="none"/>
                <w:lang w:bidi="ar"/>
              </w:rPr>
              <w:t>1）提供本项目所有设备的5年托管服务，相关费用由中标方承担；</w:t>
            </w:r>
          </w:p>
          <w:p>
            <w:pPr>
              <w:widowControl/>
              <w:jc w:val="left"/>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2）机房环境：提供国密电子门禁、国密视频监控系统等机房租赁环境。</w:t>
            </w:r>
          </w:p>
        </w:tc>
        <w:tc>
          <w:tcPr>
            <w:tcW w:w="359"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项</w:t>
            </w:r>
          </w:p>
        </w:tc>
        <w:tc>
          <w:tcPr>
            <w:tcW w:w="352" w:type="pct"/>
            <w:tcBorders>
              <w:tl2br w:val="nil"/>
              <w:tr2bl w:val="nil"/>
            </w:tcBorders>
            <w:shd w:val="clear" w:color="auto" w:fill="auto"/>
            <w:vAlign w:val="center"/>
          </w:tcPr>
          <w:p>
            <w:pPr>
              <w:widowControl/>
              <w:jc w:val="center"/>
              <w:textAlignment w:val="center"/>
              <w:rPr>
                <w:rFonts w:ascii="楷体_GB2312" w:hAnsi="楷体" w:eastAsia="楷体_GB2312" w:cs="楷体"/>
                <w:color w:val="auto"/>
                <w:szCs w:val="21"/>
                <w:highlight w:val="none"/>
              </w:rPr>
            </w:pPr>
            <w:r>
              <w:rPr>
                <w:rFonts w:hint="eastAsia" w:ascii="楷体_GB2312" w:hAnsi="楷体" w:eastAsia="楷体_GB2312" w:cs="楷体"/>
                <w:color w:val="auto"/>
                <w:kern w:val="0"/>
                <w:szCs w:val="21"/>
                <w:highlight w:val="none"/>
                <w:lang w:bidi="ar"/>
              </w:rPr>
              <w:t>1</w:t>
            </w:r>
          </w:p>
        </w:tc>
      </w:tr>
    </w:tbl>
    <w:p>
      <w:pPr>
        <w:numPr>
          <w:ilvl w:val="0"/>
          <w:numId w:val="0"/>
        </w:numPr>
        <w:spacing w:line="360" w:lineRule="auto"/>
        <w:ind w:leftChars="200"/>
        <w:rPr>
          <w:rFonts w:hint="eastAsia" w:ascii="仿宋_GB2312" w:hAnsi="宋体" w:eastAsia="仿宋_GB2312"/>
          <w:color w:val="auto"/>
          <w:sz w:val="24"/>
          <w:highlight w:val="none"/>
        </w:rPr>
      </w:pPr>
    </w:p>
    <w:p>
      <w:pPr>
        <w:widowControl/>
        <w:tabs>
          <w:tab w:val="left" w:pos="840"/>
          <w:tab w:val="left" w:pos="945"/>
          <w:tab w:val="left" w:pos="1050"/>
        </w:tabs>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s="宋体"/>
          <w:color w:val="auto"/>
          <w:kern w:val="0"/>
          <w:sz w:val="24"/>
          <w:highlight w:val="none"/>
        </w:rPr>
        <w:t>三、</w:t>
      </w:r>
      <w:r>
        <w:rPr>
          <w:rFonts w:hint="eastAsia" w:ascii="仿宋_GB2312" w:hAnsi="宋体" w:eastAsia="仿宋_GB2312"/>
          <w:color w:val="auto"/>
          <w:sz w:val="24"/>
          <w:highlight w:val="none"/>
        </w:rPr>
        <w:t>被询价人的资格要求：</w:t>
      </w:r>
      <w:r>
        <w:rPr>
          <w:rFonts w:hint="eastAsia" w:ascii="仿宋_GB2312" w:eastAsia="仿宋_GB2312"/>
          <w:color w:val="auto"/>
          <w:sz w:val="24"/>
          <w:highlight w:val="none"/>
        </w:rPr>
        <w:t>符合《中华人民共和国政府采购法》第二十二条、二十四条及本询价文件规定条件的供应商。</w:t>
      </w:r>
    </w:p>
    <w:p>
      <w:pPr>
        <w:widowControl/>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四、报价</w:t>
      </w:r>
    </w:p>
    <w:p>
      <w:pPr>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1.1 报价以人民币为结算货币。</w:t>
      </w:r>
    </w:p>
    <w:p>
      <w:pPr>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 报价为总体费用；</w:t>
      </w:r>
    </w:p>
    <w:p>
      <w:pPr>
        <w:autoSpaceDE w:val="0"/>
        <w:autoSpaceDN w:val="0"/>
        <w:adjustRightIn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 被询价人应慎重合理确定利润，自主报价，不得盲目压价，低于成本恶性竞争。</w:t>
      </w:r>
    </w:p>
    <w:p>
      <w:pPr>
        <w:autoSpaceDE w:val="0"/>
        <w:autoSpaceDN w:val="0"/>
        <w:adjustRightIn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 报价总金额到元为止。</w:t>
      </w:r>
    </w:p>
    <w:p>
      <w:pPr>
        <w:autoSpaceDE w:val="0"/>
        <w:autoSpaceDN w:val="0"/>
        <w:adjustRightIn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1.5 各报价单位可以根据情况选择合同包报价，所报总价为：预算数量×单价。</w:t>
      </w:r>
    </w:p>
    <w:p>
      <w:pPr>
        <w:pStyle w:val="4"/>
        <w:tabs>
          <w:tab w:val="left" w:pos="8668"/>
        </w:tabs>
        <w:snapToGrid w:val="0"/>
        <w:spacing w:line="360" w:lineRule="auto"/>
        <w:ind w:firstLine="480" w:firstLineChars="200"/>
        <w:rPr>
          <w:rFonts w:ascii="仿宋_GB2312" w:hAnsi="宋体" w:eastAsia="仿宋_GB2312" w:cs="宋体"/>
          <w:color w:val="auto"/>
          <w:kern w:val="0"/>
          <w:sz w:val="24"/>
          <w:szCs w:val="24"/>
          <w:highlight w:val="none"/>
        </w:rPr>
      </w:pPr>
      <w:r>
        <w:rPr>
          <w:rFonts w:hint="eastAsia" w:ascii="仿宋_GB2312" w:hAnsi="宋体" w:eastAsia="仿宋_GB2312"/>
          <w:color w:val="auto"/>
          <w:sz w:val="24"/>
          <w:highlight w:val="none"/>
        </w:rPr>
        <w:t>五、</w:t>
      </w:r>
      <w:r>
        <w:rPr>
          <w:rFonts w:hint="eastAsia" w:ascii="仿宋_GB2312" w:hAnsi="宋体" w:eastAsia="仿宋_GB2312" w:cs="宋体"/>
          <w:color w:val="auto"/>
          <w:kern w:val="0"/>
          <w:sz w:val="24"/>
          <w:szCs w:val="24"/>
          <w:highlight w:val="none"/>
        </w:rPr>
        <w:t>报价书的递交</w:t>
      </w:r>
      <w:r>
        <w:rPr>
          <w:rFonts w:hint="eastAsia" w:ascii="仿宋_GB2312" w:hAnsi="宋体" w:eastAsia="仿宋_GB2312" w:cs="宋体"/>
          <w:color w:val="auto"/>
          <w:kern w:val="0"/>
          <w:sz w:val="24"/>
          <w:szCs w:val="24"/>
          <w:highlight w:val="none"/>
        </w:rPr>
        <w:br w:type="textWrapping"/>
      </w:r>
      <w:r>
        <w:rPr>
          <w:rFonts w:hint="eastAsia" w:ascii="仿宋_GB2312" w:hAnsi="宋体" w:eastAsia="仿宋_GB2312" w:cs="宋体"/>
          <w:color w:val="auto"/>
          <w:kern w:val="0"/>
          <w:sz w:val="24"/>
          <w:szCs w:val="24"/>
          <w:highlight w:val="none"/>
        </w:rPr>
        <w:t xml:space="preserve">    报价书递交的截止时间（投标截止时间）：</w:t>
      </w:r>
      <w:r>
        <w:rPr>
          <w:rFonts w:ascii="仿宋_GB2312" w:hAnsi="宋体" w:eastAsia="仿宋_GB2312" w:cs="宋体"/>
          <w:strike w:val="0"/>
          <w:dstrike w:val="0"/>
          <w:color w:val="auto"/>
          <w:kern w:val="0"/>
          <w:sz w:val="24"/>
          <w:highlight w:val="none"/>
        </w:rPr>
        <w:t>202</w:t>
      </w:r>
      <w:r>
        <w:rPr>
          <w:rFonts w:hint="eastAsia" w:ascii="仿宋_GB2312" w:hAnsi="宋体" w:eastAsia="仿宋_GB2312" w:cs="宋体"/>
          <w:strike w:val="0"/>
          <w:dstrike w:val="0"/>
          <w:color w:val="auto"/>
          <w:kern w:val="0"/>
          <w:sz w:val="24"/>
          <w:highlight w:val="none"/>
          <w:lang w:val="en-US" w:eastAsia="zh-CN"/>
        </w:rPr>
        <w:t>6</w:t>
      </w:r>
      <w:r>
        <w:rPr>
          <w:rFonts w:hint="eastAsia" w:ascii="仿宋_GB2312" w:hAnsi="宋体" w:eastAsia="仿宋_GB2312" w:cs="宋体"/>
          <w:strike w:val="0"/>
          <w:dstrike w:val="0"/>
          <w:color w:val="auto"/>
          <w:kern w:val="0"/>
          <w:sz w:val="24"/>
          <w:highlight w:val="none"/>
        </w:rPr>
        <w:t>年</w:t>
      </w:r>
      <w:r>
        <w:rPr>
          <w:rFonts w:hint="eastAsia" w:ascii="仿宋_GB2312" w:hAnsi="宋体" w:eastAsia="仿宋_GB2312" w:cs="宋体"/>
          <w:strike w:val="0"/>
          <w:dstrike w:val="0"/>
          <w:color w:val="auto"/>
          <w:kern w:val="0"/>
          <w:sz w:val="24"/>
          <w:highlight w:val="none"/>
          <w:lang w:val="en-US" w:eastAsia="zh-CN"/>
        </w:rPr>
        <w:t>04</w:t>
      </w:r>
      <w:r>
        <w:rPr>
          <w:rFonts w:hint="eastAsia" w:ascii="仿宋_GB2312" w:hAnsi="宋体" w:eastAsia="仿宋_GB2312" w:cs="宋体"/>
          <w:strike w:val="0"/>
          <w:dstrike w:val="0"/>
          <w:color w:val="auto"/>
          <w:kern w:val="0"/>
          <w:sz w:val="24"/>
          <w:highlight w:val="none"/>
        </w:rPr>
        <w:t>月</w:t>
      </w:r>
      <w:r>
        <w:rPr>
          <w:rFonts w:hint="eastAsia" w:ascii="仿宋_GB2312" w:hAnsi="宋体" w:eastAsia="仿宋_GB2312" w:cs="宋体"/>
          <w:strike w:val="0"/>
          <w:dstrike w:val="0"/>
          <w:color w:val="auto"/>
          <w:kern w:val="0"/>
          <w:sz w:val="24"/>
          <w:highlight w:val="none"/>
          <w:lang w:val="en-US" w:eastAsia="zh-CN"/>
        </w:rPr>
        <w:t>11</w:t>
      </w:r>
      <w:r>
        <w:rPr>
          <w:rFonts w:hint="eastAsia" w:ascii="仿宋_GB2312" w:hAnsi="宋体" w:eastAsia="仿宋_GB2312" w:cs="宋体"/>
          <w:strike w:val="0"/>
          <w:dstrike w:val="0"/>
          <w:color w:val="auto"/>
          <w:kern w:val="0"/>
          <w:sz w:val="24"/>
          <w:highlight w:val="none"/>
        </w:rPr>
        <w:t>日</w:t>
      </w:r>
      <w:r>
        <w:rPr>
          <w:rFonts w:hint="eastAsia" w:ascii="仿宋_GB2312" w:hAnsi="宋体" w:eastAsia="仿宋_GB2312" w:cs="宋体"/>
          <w:strike w:val="0"/>
          <w:dstrike w:val="0"/>
          <w:color w:val="auto"/>
          <w:kern w:val="0"/>
          <w:sz w:val="24"/>
          <w:highlight w:val="none"/>
          <w:lang w:val="en-US" w:eastAsia="zh-CN"/>
        </w:rPr>
        <w:t>23</w:t>
      </w:r>
      <w:r>
        <w:rPr>
          <w:rFonts w:hint="eastAsia" w:ascii="仿宋_GB2312" w:hAnsi="宋体" w:eastAsia="仿宋_GB2312" w:cs="宋体"/>
          <w:strike w:val="0"/>
          <w:dstrike w:val="0"/>
          <w:color w:val="auto"/>
          <w:kern w:val="0"/>
          <w:sz w:val="24"/>
          <w:highlight w:val="none"/>
        </w:rPr>
        <w:t>时</w:t>
      </w:r>
      <w:r>
        <w:rPr>
          <w:rFonts w:hint="eastAsia" w:ascii="仿宋_GB2312" w:hAnsi="宋体" w:eastAsia="仿宋_GB2312" w:cs="宋体"/>
          <w:strike w:val="0"/>
          <w:dstrike w:val="0"/>
          <w:color w:val="auto"/>
          <w:kern w:val="0"/>
          <w:sz w:val="24"/>
          <w:highlight w:val="none"/>
          <w:lang w:val="en-US" w:eastAsia="zh-CN"/>
        </w:rPr>
        <w:t>59</w:t>
      </w:r>
      <w:r>
        <w:rPr>
          <w:rFonts w:hint="eastAsia" w:ascii="仿宋_GB2312" w:hAnsi="宋体" w:eastAsia="仿宋_GB2312" w:cs="宋体"/>
          <w:strike w:val="0"/>
          <w:dstrike w:val="0"/>
          <w:color w:val="auto"/>
          <w:kern w:val="0"/>
          <w:sz w:val="24"/>
          <w:highlight w:val="none"/>
        </w:rPr>
        <w:t>分</w:t>
      </w:r>
      <w:r>
        <w:rPr>
          <w:rFonts w:hint="eastAsia" w:ascii="仿宋_GB2312" w:hAnsi="宋体" w:eastAsia="仿宋_GB2312" w:cs="宋体"/>
          <w:color w:val="auto"/>
          <w:kern w:val="0"/>
          <w:sz w:val="24"/>
          <w:szCs w:val="24"/>
          <w:highlight w:val="none"/>
        </w:rPr>
        <w:t>，提交地点为</w:t>
      </w:r>
      <w:r>
        <w:rPr>
          <w:rFonts w:hint="eastAsia" w:ascii="仿宋_GB2312" w:hAnsi="宋体" w:eastAsia="仿宋_GB2312" w:cs="宋体"/>
          <w:strike w:val="0"/>
          <w:dstrike w:val="0"/>
          <w:color w:val="auto"/>
          <w:kern w:val="0"/>
          <w:sz w:val="24"/>
          <w:szCs w:val="24"/>
          <w:highlight w:val="none"/>
        </w:rPr>
        <w:t>三明市卫生健康委员会信息中心（三明市三元区红岩新村5栋</w:t>
      </w:r>
      <w:r>
        <w:rPr>
          <w:rFonts w:hint="eastAsia" w:ascii="仿宋_GB2312" w:hAnsi="宋体" w:eastAsia="仿宋_GB2312" w:cs="宋体"/>
          <w:strike w:val="0"/>
          <w:dstrike w:val="0"/>
          <w:color w:val="auto"/>
          <w:kern w:val="0"/>
          <w:sz w:val="24"/>
          <w:szCs w:val="24"/>
          <w:highlight w:val="none"/>
          <w:lang w:val="en-US" w:eastAsia="zh-CN"/>
        </w:rPr>
        <w:t>501</w:t>
      </w:r>
      <w:r>
        <w:rPr>
          <w:rFonts w:hint="eastAsia" w:ascii="仿宋_GB2312" w:hAnsi="宋体" w:eastAsia="仿宋_GB2312" w:cs="宋体"/>
          <w:strike w:val="0"/>
          <w:dstrike w:val="0"/>
          <w:color w:val="auto"/>
          <w:kern w:val="0"/>
          <w:sz w:val="24"/>
          <w:szCs w:val="24"/>
          <w:highlight w:val="none"/>
          <w:lang w:eastAsia="zh-CN"/>
        </w:rPr>
        <w:t>）</w:t>
      </w:r>
      <w:r>
        <w:rPr>
          <w:rFonts w:hint="eastAsia" w:ascii="仿宋_GB2312" w:hAnsi="宋体" w:eastAsia="仿宋_GB2312" w:cs="宋体"/>
          <w:color w:val="auto"/>
          <w:kern w:val="0"/>
          <w:sz w:val="24"/>
          <w:szCs w:val="24"/>
          <w:highlight w:val="none"/>
        </w:rPr>
        <w:t>；报价书要求密封包装并加盖单位公章，</w:t>
      </w:r>
      <w:r>
        <w:rPr>
          <w:rFonts w:hint="eastAsia" w:ascii="仿宋_GB2312" w:hAnsi="宋体" w:eastAsia="仿宋_GB2312" w:cs="宋体"/>
          <w:color w:val="auto"/>
          <w:kern w:val="0"/>
          <w:sz w:val="24"/>
          <w:szCs w:val="24"/>
          <w:highlight w:val="none"/>
          <w:lang w:eastAsia="zh-CN"/>
        </w:rPr>
        <w:t>并</w:t>
      </w:r>
      <w:r>
        <w:rPr>
          <w:rFonts w:hint="eastAsia" w:ascii="仿宋_GB2312" w:hAnsi="宋体" w:eastAsia="仿宋_GB2312" w:cs="宋体"/>
          <w:color w:val="auto"/>
          <w:kern w:val="0"/>
          <w:sz w:val="24"/>
          <w:szCs w:val="24"/>
          <w:highlight w:val="none"/>
        </w:rPr>
        <w:t>当面递交。</w:t>
      </w:r>
    </w:p>
    <w:p>
      <w:pPr>
        <w:widowControl/>
        <w:tabs>
          <w:tab w:val="left" w:pos="510"/>
          <w:tab w:val="left" w:pos="900"/>
          <w:tab w:val="left" w:pos="1100"/>
        </w:tabs>
        <w:spacing w:line="360" w:lineRule="auto"/>
        <w:jc w:val="left"/>
        <w:rPr>
          <w:rFonts w:ascii="仿宋_GB2312" w:hAnsi="宋体" w:eastAsia="仿宋_GB2312"/>
          <w:i/>
          <w:color w:val="auto"/>
          <w:sz w:val="24"/>
          <w:highlight w:val="none"/>
        </w:rPr>
      </w:pPr>
      <w:r>
        <w:rPr>
          <w:rFonts w:hint="eastAsia" w:ascii="仿宋_GB2312" w:hAnsi="宋体" w:eastAsia="仿宋_GB2312" w:cs="宋体"/>
          <w:color w:val="auto"/>
          <w:kern w:val="0"/>
          <w:sz w:val="24"/>
          <w:highlight w:val="none"/>
        </w:rPr>
        <w:t xml:space="preserve"> </w:t>
      </w:r>
      <w:r>
        <w:rPr>
          <w:rFonts w:hint="eastAsia" w:ascii="仿宋_GB2312" w:hAnsi="宋体" w:eastAsia="仿宋_GB2312"/>
          <w:color w:val="auto"/>
          <w:sz w:val="24"/>
          <w:szCs w:val="20"/>
          <w:highlight w:val="none"/>
        </w:rPr>
        <w:t xml:space="preserve">   六、联系方式</w:t>
      </w:r>
      <w:r>
        <w:rPr>
          <w:rFonts w:hint="eastAsia" w:ascii="仿宋_GB2312" w:hAnsi="宋体" w:eastAsia="仿宋_GB2312" w:cs="宋体"/>
          <w:color w:val="auto"/>
          <w:kern w:val="0"/>
          <w:sz w:val="24"/>
          <w:highlight w:val="none"/>
        </w:rPr>
        <w:br w:type="textWrapping"/>
      </w:r>
      <w:r>
        <w:rPr>
          <w:rFonts w:hint="eastAsia" w:ascii="仿宋_GB2312" w:hAnsi="宋体" w:eastAsia="仿宋_GB2312" w:cs="宋体"/>
          <w:color w:val="auto"/>
          <w:kern w:val="0"/>
          <w:sz w:val="24"/>
          <w:highlight w:val="none"/>
        </w:rPr>
        <w:t xml:space="preserve">    询价人：</w:t>
      </w:r>
      <w:r>
        <w:rPr>
          <w:rFonts w:hint="eastAsia" w:ascii="仿宋_GB2312" w:hAnsi="宋体" w:eastAsia="仿宋_GB2312" w:cs="宋体"/>
          <w:color w:val="auto"/>
          <w:kern w:val="0"/>
          <w:sz w:val="24"/>
          <w:highlight w:val="none"/>
          <w:lang w:val="en-US" w:eastAsia="zh-CN"/>
        </w:rPr>
        <w:t>三明市卫生健康委员会</w:t>
      </w:r>
    </w:p>
    <w:p>
      <w:pPr>
        <w:pStyle w:val="4"/>
        <w:tabs>
          <w:tab w:val="left" w:pos="8668"/>
        </w:tabs>
        <w:snapToGrid w:val="0"/>
        <w:spacing w:line="360" w:lineRule="auto"/>
        <w:ind w:firstLine="480" w:firstLineChars="200"/>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地址：三明市卫生健康委员会信息中心（三明市三元区红岩新村5栋</w:t>
      </w:r>
      <w:r>
        <w:rPr>
          <w:rFonts w:hint="eastAsia" w:ascii="仿宋_GB2312" w:hAnsi="宋体" w:eastAsia="仿宋_GB2312" w:cs="宋体"/>
          <w:color w:val="auto"/>
          <w:kern w:val="0"/>
          <w:sz w:val="24"/>
          <w:szCs w:val="24"/>
          <w:highlight w:val="none"/>
          <w:lang w:val="en-US" w:eastAsia="zh-CN"/>
        </w:rPr>
        <w:t>501</w:t>
      </w:r>
      <w:r>
        <w:rPr>
          <w:rFonts w:hint="eastAsia" w:ascii="仿宋_GB2312" w:hAnsi="宋体" w:eastAsia="仿宋_GB2312" w:cs="宋体"/>
          <w:color w:val="auto"/>
          <w:kern w:val="0"/>
          <w:sz w:val="24"/>
          <w:szCs w:val="24"/>
          <w:highlight w:val="none"/>
          <w:lang w:eastAsia="zh-CN"/>
        </w:rPr>
        <w:t>）</w:t>
      </w:r>
    </w:p>
    <w:p>
      <w:pPr>
        <w:pStyle w:val="4"/>
        <w:tabs>
          <w:tab w:val="left" w:pos="8668"/>
        </w:tabs>
        <w:snapToGrid w:val="0"/>
        <w:spacing w:line="360" w:lineRule="auto"/>
        <w:ind w:firstLine="480" w:firstLineChars="200"/>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rPr>
        <w:t>邮编：365000 ；电话：</w:t>
      </w:r>
      <w:r>
        <w:rPr>
          <w:rFonts w:hint="eastAsia" w:ascii="仿宋_GB2312" w:hAnsi="宋体" w:eastAsia="仿宋_GB2312" w:cs="宋体"/>
          <w:color w:val="auto"/>
          <w:kern w:val="0"/>
          <w:sz w:val="24"/>
          <w:szCs w:val="24"/>
          <w:highlight w:val="none"/>
          <w:lang w:val="en-US" w:eastAsia="zh-CN"/>
        </w:rPr>
        <w:t>0598-8220059</w:t>
      </w:r>
      <w:r>
        <w:rPr>
          <w:rFonts w:hint="eastAsia" w:ascii="仿宋_GB2312" w:hAnsi="宋体" w:eastAsia="仿宋_GB2312" w:cs="宋体"/>
          <w:color w:val="auto"/>
          <w:kern w:val="0"/>
          <w:sz w:val="24"/>
          <w:szCs w:val="24"/>
          <w:highlight w:val="none"/>
        </w:rPr>
        <w:t xml:space="preserve"> ；联系人：</w:t>
      </w:r>
      <w:r>
        <w:rPr>
          <w:rFonts w:hint="eastAsia" w:ascii="仿宋_GB2312" w:hAnsi="宋体" w:eastAsia="仿宋_GB2312" w:cs="宋体"/>
          <w:color w:val="auto"/>
          <w:kern w:val="0"/>
          <w:sz w:val="24"/>
          <w:szCs w:val="24"/>
          <w:highlight w:val="none"/>
          <w:lang w:val="en-US" w:eastAsia="zh-CN"/>
        </w:rPr>
        <w:t>王超璜</w:t>
      </w:r>
    </w:p>
    <w:p>
      <w:pPr>
        <w:pStyle w:val="48"/>
        <w:jc w:val="center"/>
        <w:rPr>
          <w:rFonts w:ascii="仿宋_GB2312" w:hAnsi="宋体" w:eastAsia="仿宋_GB2312"/>
          <w:b/>
          <w:color w:val="auto"/>
          <w:sz w:val="36"/>
          <w:highlight w:val="none"/>
        </w:rPr>
      </w:pPr>
    </w:p>
    <w:p>
      <w:pPr>
        <w:pStyle w:val="48"/>
        <w:ind w:firstLine="180" w:firstLineChars="50"/>
        <w:jc w:val="left"/>
        <w:rPr>
          <w:rFonts w:hint="eastAsia" w:ascii="仿宋_GB2312" w:hAnsi="宋体" w:eastAsia="仿宋_GB2312"/>
          <w:b/>
          <w:color w:val="auto"/>
          <w:sz w:val="36"/>
          <w:highlight w:val="none"/>
          <w:lang w:eastAsia="zh-CN"/>
        </w:rPr>
      </w:pPr>
      <w:r>
        <w:rPr>
          <w:rFonts w:hint="eastAsia" w:ascii="仿宋_GB2312" w:hAnsi="宋体" w:eastAsia="仿宋_GB2312"/>
          <w:b/>
          <w:color w:val="auto"/>
          <w:sz w:val="36"/>
          <w:highlight w:val="none"/>
          <w:lang w:eastAsia="zh-CN"/>
        </w:rPr>
        <w:t>附件：</w:t>
      </w:r>
    </w:p>
    <w:p>
      <w:pPr>
        <w:pStyle w:val="48"/>
        <w:jc w:val="both"/>
        <w:rPr>
          <w:rFonts w:ascii="仿宋_GB2312" w:hAnsi="宋体" w:eastAsia="仿宋_GB2312"/>
          <w:b/>
          <w:color w:val="auto"/>
          <w:sz w:val="36"/>
          <w:highlight w:val="none"/>
        </w:rPr>
      </w:pPr>
    </w:p>
    <w:p>
      <w:pPr>
        <w:pStyle w:val="48"/>
        <w:ind w:firstLine="180" w:firstLineChars="50"/>
        <w:jc w:val="center"/>
        <w:rPr>
          <w:rFonts w:ascii="仿宋_GB2312" w:hAnsi="宋体" w:eastAsia="仿宋_GB2312"/>
          <w:b/>
          <w:color w:val="auto"/>
          <w:sz w:val="36"/>
          <w:highlight w:val="none"/>
        </w:rPr>
      </w:pPr>
      <w:r>
        <w:rPr>
          <w:rFonts w:hint="eastAsia" w:ascii="仿宋_GB2312" w:hAnsi="宋体" w:eastAsia="仿宋_GB2312"/>
          <w:b/>
          <w:color w:val="auto"/>
          <w:sz w:val="36"/>
          <w:highlight w:val="none"/>
        </w:rPr>
        <w:t>报  价  书</w:t>
      </w:r>
    </w:p>
    <w:p>
      <w:pPr>
        <w:spacing w:line="380" w:lineRule="exact"/>
        <w:rPr>
          <w:rFonts w:ascii="仿宋_GB2312" w:hAnsi="宋体" w:eastAsia="仿宋_GB2312"/>
          <w:color w:val="auto"/>
          <w:sz w:val="24"/>
          <w:highlight w:val="none"/>
        </w:rPr>
      </w:pPr>
    </w:p>
    <w:p>
      <w:pPr>
        <w:spacing w:line="38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致：</w:t>
      </w:r>
      <w:r>
        <w:rPr>
          <w:rFonts w:hint="eastAsia" w:ascii="仿宋_GB2312" w:hAnsi="宋体" w:eastAsia="仿宋_GB2312"/>
          <w:color w:val="auto"/>
          <w:sz w:val="24"/>
          <w:highlight w:val="none"/>
          <w:u w:val="single"/>
        </w:rPr>
        <w:t xml:space="preserve">              </w:t>
      </w:r>
    </w:p>
    <w:p>
      <w:pPr>
        <w:spacing w:line="380" w:lineRule="exact"/>
        <w:rPr>
          <w:rFonts w:ascii="仿宋_GB2312" w:hAnsi="宋体" w:eastAsia="仿宋_GB2312"/>
          <w:color w:val="auto"/>
          <w:sz w:val="24"/>
          <w:highlight w:val="none"/>
        </w:rPr>
      </w:pPr>
    </w:p>
    <w:p>
      <w:pPr>
        <w:spacing w:line="38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根据贵方为 </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项目的询价</w:t>
      </w:r>
      <w:r>
        <w:rPr>
          <w:rFonts w:hint="eastAsia" w:ascii="仿宋_GB2312" w:hAnsi="宋体" w:eastAsia="仿宋_GB2312"/>
          <w:color w:val="auto"/>
          <w:sz w:val="24"/>
          <w:highlight w:val="none"/>
          <w:lang w:eastAsia="zh-CN"/>
        </w:rPr>
        <w:t>公告</w:t>
      </w:r>
      <w:r>
        <w:rPr>
          <w:rFonts w:hint="eastAsia" w:ascii="仿宋_GB2312" w:hAnsi="宋体" w:eastAsia="仿宋_GB2312"/>
          <w:color w:val="auto"/>
          <w:sz w:val="24"/>
          <w:highlight w:val="none"/>
        </w:rPr>
        <w:t>，本签字代表</w:t>
      </w:r>
      <w:r>
        <w:rPr>
          <w:rFonts w:hint="eastAsia" w:ascii="仿宋_GB2312" w:hAnsi="宋体" w:eastAsia="仿宋_GB2312"/>
          <w:color w:val="auto"/>
          <w:sz w:val="24"/>
          <w:highlight w:val="none"/>
          <w:u w:val="single" w:color="auto"/>
        </w:rPr>
        <w:t>（全名、职务）</w:t>
      </w:r>
      <w:r>
        <w:rPr>
          <w:rFonts w:hint="eastAsia" w:ascii="仿宋_GB2312" w:hAnsi="宋体" w:eastAsia="仿宋_GB2312"/>
          <w:color w:val="auto"/>
          <w:sz w:val="24"/>
          <w:highlight w:val="none"/>
        </w:rPr>
        <w:t>正式授权并代表被询价人提交下述报价：</w:t>
      </w:r>
    </w:p>
    <w:p>
      <w:pPr>
        <w:spacing w:line="38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据此函，签字代表宣布同意如下：</w:t>
      </w:r>
    </w:p>
    <w:p>
      <w:pPr>
        <w:spacing w:line="38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1.所附询价文件中规定的应提供的货物（服务）</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合同包报价总价为人民币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，即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（中文表述）。</w:t>
      </w:r>
    </w:p>
    <w:p>
      <w:pPr>
        <w:spacing w:line="3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2</w:t>
      </w:r>
      <w:r>
        <w:rPr>
          <w:rFonts w:hint="eastAsia" w:ascii="仿宋_GB2312" w:hAnsi="宋体" w:eastAsia="仿宋_GB2312"/>
          <w:color w:val="auto"/>
          <w:sz w:val="24"/>
          <w:highlight w:val="none"/>
        </w:rPr>
        <w:t>.被询价人已详细审查全部询价文件，将自行承担因对全部询价文件理解不正确或误解而产生的相应后果。</w:t>
      </w:r>
    </w:p>
    <w:p>
      <w:pPr>
        <w:spacing w:line="38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.被询价人保证遵守询价文件的全部规定，被询价人所提交的材料中所含的信息均为真实、准确、完整，且不具有任何误导性。</w:t>
      </w:r>
    </w:p>
    <w:p>
      <w:pPr>
        <w:spacing w:line="38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被询价人已经过现场踏勘，明确了解全部施工范围和施工内容，明确被询价人的全部权利和义务。</w:t>
      </w:r>
    </w:p>
    <w:p>
      <w:pPr>
        <w:tabs>
          <w:tab w:val="center" w:pos="900"/>
          <w:tab w:val="center" w:pos="1080"/>
        </w:tabs>
        <w:spacing w:line="360" w:lineRule="auto"/>
        <w:ind w:firstLine="435"/>
        <w:rPr>
          <w:rFonts w:hint="eastAsia" w:ascii="仿宋_GB2312" w:hAnsi="宋体" w:eastAsia="仿宋_GB2312"/>
          <w:color w:val="auto"/>
          <w:sz w:val="24"/>
          <w:highlight w:val="none"/>
        </w:rPr>
      </w:pPr>
    </w:p>
    <w:p>
      <w:pPr>
        <w:tabs>
          <w:tab w:val="center" w:pos="900"/>
          <w:tab w:val="center" w:pos="1080"/>
        </w:tabs>
        <w:spacing w:line="360" w:lineRule="auto"/>
        <w:ind w:firstLine="435"/>
        <w:rPr>
          <w:rFonts w:hint="eastAsia" w:ascii="仿宋_GB2312" w:hAnsi="宋体" w:eastAsia="仿宋_GB2312"/>
          <w:color w:val="auto"/>
          <w:sz w:val="24"/>
          <w:highlight w:val="none"/>
        </w:rPr>
      </w:pPr>
    </w:p>
    <w:p>
      <w:pPr>
        <w:tabs>
          <w:tab w:val="center" w:pos="900"/>
          <w:tab w:val="center" w:pos="1080"/>
        </w:tabs>
        <w:spacing w:line="360" w:lineRule="auto"/>
        <w:ind w:firstLine="435"/>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 xml:space="preserve">                                            </w:t>
      </w:r>
    </w:p>
    <w:p>
      <w:pPr>
        <w:tabs>
          <w:tab w:val="center" w:pos="900"/>
          <w:tab w:val="center" w:pos="1080"/>
        </w:tabs>
        <w:spacing w:line="360" w:lineRule="auto"/>
        <w:ind w:firstLine="435"/>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p>
      <w:pPr>
        <w:tabs>
          <w:tab w:val="center" w:pos="900"/>
          <w:tab w:val="center" w:pos="1080"/>
        </w:tabs>
        <w:wordWrap w:val="0"/>
        <w:spacing w:line="360" w:lineRule="auto"/>
        <w:ind w:firstLine="435"/>
        <w:jc w:val="righ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 xml:space="preserve">                                           被询价人(盖章)：              </w:t>
      </w:r>
    </w:p>
    <w:p>
      <w:pPr>
        <w:tabs>
          <w:tab w:val="center" w:pos="900"/>
          <w:tab w:val="center" w:pos="1080"/>
        </w:tabs>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日  期：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日</w:t>
      </w:r>
    </w:p>
    <w:p>
      <w:pPr>
        <w:rPr>
          <w:rFonts w:ascii="仿宋_GB2312" w:eastAsia="仿宋_GB2312"/>
          <w:color w:val="auto"/>
          <w:highlight w:val="none"/>
        </w:rPr>
      </w:pPr>
    </w:p>
    <w:p>
      <w:pPr>
        <w:rPr>
          <w:rFonts w:ascii="仿宋_GB2312" w:eastAsia="仿宋_GB2312"/>
          <w:color w:val="auto"/>
          <w:highlight w:val="none"/>
        </w:rPr>
      </w:pPr>
      <w:r>
        <w:rPr>
          <w:rFonts w:hint="eastAsia" w:ascii="仿宋_GB2312" w:eastAsia="仿宋_GB2312"/>
          <w:color w:val="auto"/>
          <w:highlight w:val="none"/>
        </w:rPr>
        <w:t xml:space="preserve">    </w:t>
      </w:r>
    </w:p>
    <w:p>
      <w:pPr>
        <w:rPr>
          <w:rFonts w:ascii="仿宋_GB2312" w:eastAsia="仿宋_GB2312"/>
          <w:color w:val="auto"/>
          <w:highlight w:val="none"/>
        </w:rPr>
      </w:pPr>
    </w:p>
    <w:p>
      <w:pPr>
        <w:rPr>
          <w:rFonts w:ascii="仿宋_GB2312" w:eastAsia="仿宋_GB2312"/>
          <w:color w:val="auto"/>
          <w:highlight w:val="none"/>
        </w:rPr>
      </w:pPr>
    </w:p>
    <w:p>
      <w:pPr>
        <w:rPr>
          <w:rFonts w:ascii="仿宋_GB2312" w:eastAsia="仿宋_GB2312"/>
          <w:color w:val="auto"/>
          <w:highlight w:val="none"/>
        </w:rPr>
      </w:pPr>
    </w:p>
    <w:sectPr>
      <w:footerReference r:id="rId5" w:type="first"/>
      <w:footerReference r:id="rId3" w:type="default"/>
      <w:footerReference r:id="rId4" w:type="even"/>
      <w:pgSz w:w="11907" w:h="16840"/>
      <w:pgMar w:top="936" w:right="1007" w:bottom="1089" w:left="1588"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auto"/>
    <w:pitch w:val="default"/>
    <w:sig w:usb0="00000000" w:usb1="00000000" w:usb2="00000000" w:usb3="00000000" w:csb0="00000093"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Cambria">
    <w:panose1 w:val="02040503050406030204"/>
    <w:charset w:val="00"/>
    <w:family w:val="auto"/>
    <w:pitch w:val="default"/>
    <w:sig w:usb0="E00006FF" w:usb1="420024FF" w:usb2="02000000" w:usb3="00000000" w:csb0="2000019F" w:csb1="00000000"/>
  </w:font>
  <w:font w:name="Mangal">
    <w:altName w:val="Segoe Print"/>
    <w:panose1 w:val="02040503050203030202"/>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___WRD_EMBED_SUB_47">
    <w:altName w:val="宋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kern w:val="0"/>
      </w:rPr>
      <w:t>第</w:t>
    </w:r>
    <w:r>
      <w:fldChar w:fldCharType="begin"/>
    </w:r>
    <w:r>
      <w:rPr>
        <w:rStyle w:val="42"/>
      </w:rPr>
      <w:instrText xml:space="preserve"> PAGE </w:instrText>
    </w:r>
    <w:r>
      <w:fldChar w:fldCharType="separate"/>
    </w:r>
    <w:r>
      <w:rPr>
        <w:rStyle w:val="42"/>
      </w:rPr>
      <w:t>2</w:t>
    </w:r>
    <w:r>
      <w:fldChar w:fldCharType="end"/>
    </w:r>
    <w:r>
      <w:rPr>
        <w:rFonts w:hint="eastAsia"/>
        <w:kern w:val="0"/>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2"/>
      </w:rPr>
    </w:pPr>
    <w:r>
      <w:fldChar w:fldCharType="begin"/>
    </w:r>
    <w:r>
      <w:rPr>
        <w:rStyle w:val="42"/>
      </w:rPr>
      <w:instrText xml:space="preserve">PAGE  </w:instrText>
    </w:r>
    <w:r>
      <w:fldChar w:fldCharType="separate"/>
    </w:r>
    <w:r>
      <w:fldChar w:fldCharType="end"/>
    </w:r>
  </w:p>
  <w:p>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Style w:val="42"/>
      </w:rPr>
      <w:fldChar w:fldCharType="begin"/>
    </w:r>
    <w:r>
      <w:rPr>
        <w:rStyle w:val="42"/>
      </w:rPr>
      <w:instrText xml:space="preserve"> PAGE </w:instrText>
    </w:r>
    <w:r>
      <w:rPr>
        <w:rStyle w:val="42"/>
      </w:rPr>
      <w:fldChar w:fldCharType="separate"/>
    </w:r>
    <w:r>
      <w:rPr>
        <w:rStyle w:val="42"/>
      </w:rPr>
      <w:t>1</w:t>
    </w:r>
    <w:r>
      <w:rPr>
        <w:rStyle w:val="4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15423"/>
    <w:multiLevelType w:val="singleLevel"/>
    <w:tmpl w:val="AE715423"/>
    <w:lvl w:ilvl="0" w:tentative="0">
      <w:start w:val="1"/>
      <w:numFmt w:val="chineseCounting"/>
      <w:suff w:val="nothing"/>
      <w:lvlText w:val="%1、"/>
      <w:lvlJc w:val="left"/>
      <w:rPr>
        <w:rFonts w:hint="eastAsia"/>
      </w:rPr>
    </w:lvl>
  </w:abstractNum>
  <w:abstractNum w:abstractNumId="1">
    <w:nsid w:val="EF1DDC7B"/>
    <w:multiLevelType w:val="multilevel"/>
    <w:tmpl w:val="EF1DDC7B"/>
    <w:lvl w:ilvl="0" w:tentative="0">
      <w:start w:val="1"/>
      <w:numFmt w:val="decimal"/>
      <w:pStyle w:val="71"/>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FFFFFF7C"/>
    <w:multiLevelType w:val="singleLevel"/>
    <w:tmpl w:val="FFFFFF7C"/>
    <w:lvl w:ilvl="0" w:tentative="0">
      <w:start w:val="1"/>
      <w:numFmt w:val="decimal"/>
      <w:pStyle w:val="29"/>
      <w:lvlText w:val="%1."/>
      <w:lvlJc w:val="left"/>
      <w:pPr>
        <w:tabs>
          <w:tab w:val="left" w:pos="2040"/>
        </w:tabs>
        <w:ind w:left="2040" w:hanging="360"/>
      </w:pPr>
    </w:lvl>
  </w:abstractNum>
  <w:abstractNum w:abstractNumId="3">
    <w:nsid w:val="FFFFFF82"/>
    <w:multiLevelType w:val="singleLevel"/>
    <w:tmpl w:val="FFFFFF82"/>
    <w:lvl w:ilvl="0" w:tentative="0">
      <w:start w:val="1"/>
      <w:numFmt w:val="bullet"/>
      <w:pStyle w:val="82"/>
      <w:lvlText w:val=""/>
      <w:lvlJc w:val="left"/>
      <w:pPr>
        <w:tabs>
          <w:tab w:val="left" w:pos="1200"/>
        </w:tabs>
        <w:ind w:left="1200" w:hanging="360"/>
      </w:pPr>
      <w:rPr>
        <w:rFonts w:hint="default" w:ascii="Wingdings" w:hAnsi="Wingdings"/>
      </w:rPr>
    </w:lvl>
  </w:abstractNum>
  <w:abstractNum w:abstractNumId="4">
    <w:nsid w:val="0AC42944"/>
    <w:multiLevelType w:val="multilevel"/>
    <w:tmpl w:val="0AC42944"/>
    <w:lvl w:ilvl="0" w:tentative="0">
      <w:start w:val="1"/>
      <w:numFmt w:val="bullet"/>
      <w:pStyle w:val="6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28020941"/>
    <w:multiLevelType w:val="multilevel"/>
    <w:tmpl w:val="28020941"/>
    <w:lvl w:ilvl="0" w:tentative="0">
      <w:start w:val="1"/>
      <w:numFmt w:val="chineseCountingThousand"/>
      <w:pStyle w:val="70"/>
      <w:suff w:val="nothing"/>
      <w:lvlText w:val="第%1部分"/>
      <w:lvlJc w:val="left"/>
      <w:pPr>
        <w:ind w:left="2340" w:firstLine="0"/>
      </w:pPr>
      <w:rPr>
        <w:rFonts w:hint="eastAsia" w:ascii="黑体" w:eastAsia="黑体"/>
        <w:sz w:val="32"/>
      </w:rPr>
    </w:lvl>
    <w:lvl w:ilvl="1" w:tentative="0">
      <w:start w:val="1"/>
      <w:numFmt w:val="upperLetter"/>
      <w:pStyle w:val="3"/>
      <w:suff w:val="nothing"/>
      <w:lvlText w:val="%2"/>
      <w:lvlJc w:val="left"/>
      <w:pPr>
        <w:ind w:left="2340" w:firstLine="0"/>
      </w:pPr>
      <w:rPr>
        <w:rFonts w:hint="default" w:ascii="CG Times" w:hAnsi="CG Times"/>
        <w:b/>
        <w:i w:val="0"/>
        <w:sz w:val="28"/>
      </w:rPr>
    </w:lvl>
    <w:lvl w:ilvl="2" w:tentative="0">
      <w:start w:val="1"/>
      <w:numFmt w:val="decimal"/>
      <w:lvlRestart w:val="0"/>
      <w:suff w:val="nothing"/>
      <w:lvlText w:val="%3"/>
      <w:lvlJc w:val="left"/>
      <w:pPr>
        <w:ind w:left="2340" w:firstLine="0"/>
      </w:pPr>
      <w:rPr>
        <w:rFonts w:hint="eastAsia" w:ascii="宋体" w:eastAsia="宋体"/>
        <w:b/>
        <w:i w:val="0"/>
        <w:sz w:val="28"/>
      </w:rPr>
    </w:lvl>
    <w:lvl w:ilvl="3" w:tentative="0">
      <w:start w:val="1"/>
      <w:numFmt w:val="none"/>
      <w:suff w:val="nothing"/>
      <w:lvlText w:val=""/>
      <w:lvlJc w:val="left"/>
      <w:pPr>
        <w:ind w:left="2340" w:firstLine="0"/>
      </w:pPr>
      <w:rPr>
        <w:rFonts w:hint="eastAsia"/>
      </w:rPr>
    </w:lvl>
    <w:lvl w:ilvl="4" w:tentative="0">
      <w:start w:val="1"/>
      <w:numFmt w:val="none"/>
      <w:pStyle w:val="7"/>
      <w:suff w:val="nothing"/>
      <w:lvlText w:val=""/>
      <w:lvlJc w:val="left"/>
      <w:pPr>
        <w:ind w:left="2340" w:firstLine="0"/>
      </w:pPr>
      <w:rPr>
        <w:rFonts w:hint="eastAsia"/>
      </w:rPr>
    </w:lvl>
    <w:lvl w:ilvl="5" w:tentative="0">
      <w:start w:val="1"/>
      <w:numFmt w:val="none"/>
      <w:pStyle w:val="8"/>
      <w:suff w:val="nothing"/>
      <w:lvlText w:val=""/>
      <w:lvlJc w:val="left"/>
      <w:pPr>
        <w:ind w:left="2340" w:firstLine="0"/>
      </w:pPr>
      <w:rPr>
        <w:rFonts w:hint="eastAsia"/>
      </w:rPr>
    </w:lvl>
    <w:lvl w:ilvl="6" w:tentative="0">
      <w:start w:val="1"/>
      <w:numFmt w:val="none"/>
      <w:pStyle w:val="9"/>
      <w:suff w:val="nothing"/>
      <w:lvlText w:val=""/>
      <w:lvlJc w:val="left"/>
      <w:pPr>
        <w:ind w:left="2340" w:firstLine="0"/>
      </w:pPr>
      <w:rPr>
        <w:rFonts w:hint="eastAsia"/>
      </w:rPr>
    </w:lvl>
    <w:lvl w:ilvl="7" w:tentative="0">
      <w:start w:val="1"/>
      <w:numFmt w:val="none"/>
      <w:pStyle w:val="10"/>
      <w:suff w:val="nothing"/>
      <w:lvlText w:val=""/>
      <w:lvlJc w:val="left"/>
      <w:pPr>
        <w:ind w:left="2340" w:firstLine="0"/>
      </w:pPr>
      <w:rPr>
        <w:rFonts w:hint="eastAsia"/>
      </w:rPr>
    </w:lvl>
    <w:lvl w:ilvl="8" w:tentative="0">
      <w:start w:val="1"/>
      <w:numFmt w:val="none"/>
      <w:pStyle w:val="11"/>
      <w:suff w:val="nothing"/>
      <w:lvlText w:val=""/>
      <w:lvlJc w:val="left"/>
      <w:pPr>
        <w:ind w:left="2340" w:firstLine="0"/>
      </w:pPr>
      <w:rPr>
        <w:rFonts w:hint="eastAsia"/>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NGRmNzNlNDQwNTNjODFkOWRiN2VmMjI5NDZhZjkifQ=="/>
  </w:docVars>
  <w:rsids>
    <w:rsidRoot w:val="00000000"/>
    <w:rsid w:val="14005579"/>
    <w:rsid w:val="262346A5"/>
    <w:rsid w:val="2AC6005E"/>
    <w:rsid w:val="2C467AC7"/>
    <w:rsid w:val="33A928CE"/>
    <w:rsid w:val="4F491EB7"/>
    <w:rsid w:val="646E6244"/>
    <w:rsid w:val="6C996684"/>
    <w:rsid w:val="79F128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ind w:left="2340"/>
      <w:jc w:val="center"/>
      <w:outlineLvl w:val="0"/>
    </w:pPr>
    <w:rPr>
      <w:rFonts w:eastAsia="黑体"/>
      <w:b/>
      <w:kern w:val="44"/>
      <w:sz w:val="36"/>
      <w:szCs w:val="20"/>
    </w:rPr>
  </w:style>
  <w:style w:type="paragraph" w:styleId="3">
    <w:name w:val="heading 2"/>
    <w:basedOn w:val="1"/>
    <w:next w:val="4"/>
    <w:qFormat/>
    <w:uiPriority w:val="0"/>
    <w:pPr>
      <w:keepNext/>
      <w:keepLines/>
      <w:numPr>
        <w:ilvl w:val="1"/>
        <w:numId w:val="1"/>
      </w:numPr>
      <w:spacing w:before="260" w:after="260" w:line="415" w:lineRule="auto"/>
      <w:jc w:val="center"/>
      <w:outlineLvl w:val="1"/>
    </w:pPr>
    <w:rPr>
      <w:rFonts w:ascii="CG Times" w:hAnsi="CG Times"/>
      <w:b/>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4"/>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4"/>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4"/>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4"/>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58"/>
    <w:qFormat/>
    <w:uiPriority w:val="0"/>
    <w:pPr>
      <w:ind w:firstLine="420"/>
    </w:pPr>
    <w:rPr>
      <w:szCs w:val="20"/>
    </w:rPr>
  </w:style>
  <w:style w:type="paragraph" w:styleId="12">
    <w:name w:val="toc 7"/>
    <w:basedOn w:val="1"/>
    <w:next w:val="1"/>
    <w:semiHidden/>
    <w:qFormat/>
    <w:uiPriority w:val="0"/>
    <w:pPr>
      <w:ind w:left="2520" w:leftChars="1200"/>
    </w:pPr>
  </w:style>
  <w:style w:type="paragraph" w:styleId="13">
    <w:name w:val="Document Map"/>
    <w:basedOn w:val="1"/>
    <w:link w:val="159"/>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Salutation"/>
    <w:basedOn w:val="1"/>
    <w:next w:val="1"/>
    <w:qFormat/>
    <w:uiPriority w:val="0"/>
    <w:rPr>
      <w:sz w:val="24"/>
    </w:rPr>
  </w:style>
  <w:style w:type="paragraph" w:styleId="16">
    <w:name w:val="Body Text"/>
    <w:basedOn w:val="1"/>
    <w:qFormat/>
    <w:uiPriority w:val="0"/>
    <w:pPr>
      <w:spacing w:line="380" w:lineRule="exact"/>
    </w:pPr>
    <w:rPr>
      <w:sz w:val="24"/>
    </w:rPr>
  </w:style>
  <w:style w:type="paragraph" w:styleId="17">
    <w:name w:val="Body Text Indent"/>
    <w:basedOn w:val="1"/>
    <w:qFormat/>
    <w:uiPriority w:val="0"/>
    <w:pPr>
      <w:spacing w:after="120"/>
      <w:ind w:left="420" w:leftChars="200"/>
    </w:pPr>
  </w:style>
  <w:style w:type="paragraph" w:styleId="18">
    <w:name w:val="toc 5"/>
    <w:basedOn w:val="1"/>
    <w:next w:val="1"/>
    <w:semiHidden/>
    <w:qFormat/>
    <w:uiPriority w:val="0"/>
    <w:pPr>
      <w:ind w:left="1680" w:leftChars="800"/>
    </w:pPr>
  </w:style>
  <w:style w:type="paragraph" w:styleId="19">
    <w:name w:val="toc 3"/>
    <w:basedOn w:val="1"/>
    <w:next w:val="1"/>
    <w:semiHidden/>
    <w:qFormat/>
    <w:uiPriority w:val="0"/>
    <w:pPr>
      <w:ind w:left="840" w:leftChars="400"/>
    </w:pPr>
  </w:style>
  <w:style w:type="paragraph" w:styleId="20">
    <w:name w:val="Plain Text"/>
    <w:basedOn w:val="1"/>
    <w:link w:val="160"/>
    <w:qFormat/>
    <w:uiPriority w:val="0"/>
    <w:rPr>
      <w:rFonts w:ascii="宋体" w:hAnsi="Courier New"/>
      <w:szCs w:val="20"/>
    </w:rPr>
  </w:style>
  <w:style w:type="paragraph" w:styleId="21">
    <w:name w:val="toc 8"/>
    <w:basedOn w:val="1"/>
    <w:next w:val="1"/>
    <w:semiHidden/>
    <w:qFormat/>
    <w:uiPriority w:val="0"/>
    <w:pPr>
      <w:ind w:left="2940" w:leftChars="1400"/>
    </w:pPr>
  </w:style>
  <w:style w:type="paragraph" w:styleId="22">
    <w:name w:val="Date"/>
    <w:basedOn w:val="1"/>
    <w:next w:val="1"/>
    <w:qFormat/>
    <w:uiPriority w:val="0"/>
    <w:pPr>
      <w:ind w:left="100" w:leftChars="2500"/>
    </w:pPr>
  </w:style>
  <w:style w:type="paragraph" w:styleId="23">
    <w:name w:val="Body Text Indent 2"/>
    <w:basedOn w:val="1"/>
    <w:qFormat/>
    <w:uiPriority w:val="0"/>
    <w:pPr>
      <w:spacing w:after="120" w:line="480" w:lineRule="auto"/>
      <w:ind w:left="420" w:leftChars="200"/>
    </w:p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7">
    <w:name w:val="toc 1"/>
    <w:basedOn w:val="1"/>
    <w:next w:val="1"/>
    <w:semiHidden/>
    <w:qFormat/>
    <w:uiPriority w:val="0"/>
  </w:style>
  <w:style w:type="paragraph" w:styleId="28">
    <w:name w:val="toc 4"/>
    <w:basedOn w:val="1"/>
    <w:next w:val="1"/>
    <w:semiHidden/>
    <w:qFormat/>
    <w:uiPriority w:val="0"/>
    <w:pPr>
      <w:ind w:left="1260" w:leftChars="600"/>
    </w:pPr>
  </w:style>
  <w:style w:type="paragraph" w:styleId="29">
    <w:name w:val="Subtitle"/>
    <w:basedOn w:val="1"/>
    <w:link w:val="161"/>
    <w:qFormat/>
    <w:uiPriority w:val="11"/>
    <w:pPr>
      <w:widowControl/>
      <w:numPr>
        <w:ilvl w:val="0"/>
        <w:numId w:val="2"/>
      </w:numPr>
      <w:jc w:val="center"/>
    </w:pPr>
    <w:rPr>
      <w:rFonts w:ascii="Arial" w:hAnsi="Arial"/>
      <w:b/>
      <w:kern w:val="0"/>
      <w:sz w:val="40"/>
      <w:szCs w:val="20"/>
      <w:lang w:eastAsia="en-US"/>
    </w:rPr>
  </w:style>
  <w:style w:type="paragraph" w:styleId="30">
    <w:name w:val="toc 6"/>
    <w:basedOn w:val="1"/>
    <w:next w:val="1"/>
    <w:semiHidden/>
    <w:qFormat/>
    <w:uiPriority w:val="0"/>
    <w:pPr>
      <w:ind w:left="2100" w:leftChars="1000"/>
    </w:p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semiHidden/>
    <w:qFormat/>
    <w:uiPriority w:val="0"/>
    <w:pPr>
      <w:ind w:left="420" w:leftChars="200"/>
    </w:pPr>
  </w:style>
  <w:style w:type="paragraph" w:styleId="33">
    <w:name w:val="toc 9"/>
    <w:basedOn w:val="1"/>
    <w:next w:val="1"/>
    <w:semiHidden/>
    <w:qFormat/>
    <w:uiPriority w:val="0"/>
    <w:pPr>
      <w:ind w:left="3360" w:leftChars="1600"/>
    </w:pPr>
  </w:style>
  <w:style w:type="paragraph" w:styleId="34">
    <w:name w:val="Body Text 2"/>
    <w:basedOn w:val="1"/>
    <w:qFormat/>
    <w:uiPriority w:val="0"/>
    <w:pPr>
      <w:spacing w:line="360" w:lineRule="auto"/>
    </w:pPr>
    <w:rPr>
      <w:rFonts w:ascii="楷体_GB2312" w:hAnsi="Arial" w:eastAsia="楷体_GB2312"/>
      <w:sz w:val="30"/>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7">
    <w:name w:val="annotation subject"/>
    <w:basedOn w:val="14"/>
    <w:next w:val="14"/>
    <w:semiHidden/>
    <w:qFormat/>
    <w:uiPriority w:val="0"/>
    <w:rPr>
      <w:b/>
      <w:bCs/>
    </w:rPr>
  </w:style>
  <w:style w:type="paragraph" w:styleId="38">
    <w:name w:val="Body Text First Indent"/>
    <w:basedOn w:val="16"/>
    <w:qFormat/>
    <w:uiPriority w:val="0"/>
    <w:pPr>
      <w:spacing w:after="120" w:line="240" w:lineRule="auto"/>
      <w:ind w:firstLine="420" w:firstLineChars="100"/>
    </w:pPr>
    <w:rPr>
      <w:sz w:val="21"/>
    </w:rPr>
  </w:style>
  <w:style w:type="character" w:styleId="41">
    <w:name w:val="Strong"/>
    <w:qFormat/>
    <w:uiPriority w:val="0"/>
    <w:rPr>
      <w:b/>
      <w:bCs/>
    </w:rPr>
  </w:style>
  <w:style w:type="character" w:styleId="42">
    <w:name w:val="page number"/>
    <w:qFormat/>
    <w:uiPriority w:val="0"/>
  </w:style>
  <w:style w:type="character" w:styleId="43">
    <w:name w:val="FollowedHyperlink"/>
    <w:unhideWhenUsed/>
    <w:qFormat/>
    <w:uiPriority w:val="0"/>
    <w:rPr>
      <w:color w:val="800080"/>
      <w:u w:val="single"/>
    </w:rPr>
  </w:style>
  <w:style w:type="character" w:styleId="44">
    <w:name w:val="Hyperlink"/>
    <w:qFormat/>
    <w:uiPriority w:val="0"/>
    <w:rPr>
      <w:color w:val="000000"/>
      <w:sz w:val="18"/>
      <w:szCs w:val="18"/>
      <w:u w:val="none"/>
    </w:rPr>
  </w:style>
  <w:style w:type="character" w:styleId="45">
    <w:name w:val="annotation reference"/>
    <w:semiHidden/>
    <w:qFormat/>
    <w:uiPriority w:val="0"/>
    <w:rPr>
      <w:sz w:val="21"/>
      <w:szCs w:val="21"/>
    </w:rPr>
  </w:style>
  <w:style w:type="paragraph" w:customStyle="1" w:styleId="46">
    <w:name w:val="Char Char Char Char Char Char Char Char Char Char"/>
    <w:basedOn w:val="1"/>
    <w:qFormat/>
    <w:uiPriority w:val="0"/>
    <w:pPr>
      <w:adjustRightInd w:val="0"/>
      <w:spacing w:line="360" w:lineRule="auto"/>
    </w:pPr>
    <w:rPr>
      <w:kern w:val="0"/>
      <w:sz w:val="24"/>
      <w:szCs w:val="20"/>
    </w:rPr>
  </w:style>
  <w:style w:type="paragraph" w:customStyle="1" w:styleId="4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8">
    <w:name w:val="样式3"/>
    <w:basedOn w:val="20"/>
    <w:qFormat/>
    <w:uiPriority w:val="0"/>
    <w:pPr>
      <w:spacing w:line="0" w:lineRule="atLeast"/>
      <w:outlineLvl w:val="0"/>
    </w:pPr>
    <w:rPr>
      <w:sz w:val="28"/>
    </w:rPr>
  </w:style>
  <w:style w:type="paragraph" w:customStyle="1" w:styleId="49">
    <w:name w:val="标3"/>
    <w:basedOn w:val="1"/>
    <w:qFormat/>
    <w:uiPriority w:val="0"/>
    <w:pPr>
      <w:adjustRightInd w:val="0"/>
      <w:snapToGrid w:val="0"/>
      <w:spacing w:before="50"/>
      <w:outlineLvl w:val="2"/>
    </w:pPr>
    <w:rPr>
      <w:rFonts w:ascii="Arial Narrow" w:hAnsi="Arial Narrow" w:eastAsia="仿宋_GB2312"/>
      <w:sz w:val="28"/>
      <w:szCs w:val="20"/>
    </w:rPr>
  </w:style>
  <w:style w:type="paragraph" w:customStyle="1" w:styleId="50">
    <w:name w:val="Char2"/>
    <w:basedOn w:val="1"/>
    <w:qFormat/>
    <w:uiPriority w:val="0"/>
    <w:rPr>
      <w:szCs w:val="20"/>
    </w:rPr>
  </w:style>
  <w:style w:type="paragraph" w:customStyle="1" w:styleId="5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
    <w:name w:val="Char Char2 Char"/>
    <w:basedOn w:val="1"/>
    <w:qFormat/>
    <w:uiPriority w:val="0"/>
    <w:pPr>
      <w:keepNext/>
      <w:keepLines/>
      <w:pageBreakBefore/>
      <w:tabs>
        <w:tab w:val="left" w:pos="390"/>
      </w:tabs>
      <w:ind w:left="390" w:hanging="390"/>
    </w:pPr>
    <w:rPr>
      <w:rFonts w:ascii="Tahoma" w:hAnsi="Tahoma"/>
      <w:sz w:val="24"/>
      <w:szCs w:val="20"/>
    </w:rPr>
  </w:style>
  <w:style w:type="paragraph" w:customStyle="1" w:styleId="53">
    <w:name w:val="Char1 Char Char Char Char Char Char"/>
    <w:basedOn w:val="1"/>
    <w:qFormat/>
    <w:uiPriority w:val="0"/>
    <w:rPr>
      <w:rFonts w:ascii="Tahoma" w:hAnsi="Tahoma"/>
      <w:sz w:val="24"/>
      <w:szCs w:val="20"/>
    </w:rPr>
  </w:style>
  <w:style w:type="paragraph" w:customStyle="1" w:styleId="54">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55">
    <w:name w:val="Char Char Char"/>
    <w:basedOn w:val="1"/>
    <w:qFormat/>
    <w:uiPriority w:val="0"/>
    <w:rPr>
      <w:rFonts w:ascii="Tahoma" w:hAnsi="Tahoma"/>
      <w:sz w:val="24"/>
      <w:szCs w:val="20"/>
    </w:rPr>
  </w:style>
  <w:style w:type="paragraph" w:customStyle="1" w:styleId="56">
    <w:name w:val="Char"/>
    <w:basedOn w:val="1"/>
    <w:qFormat/>
    <w:uiPriority w:val="0"/>
    <w:rPr>
      <w:rFonts w:ascii="Tahoma" w:hAnsi="Tahoma"/>
      <w:sz w:val="24"/>
      <w:szCs w:val="20"/>
    </w:rPr>
  </w:style>
  <w:style w:type="paragraph" w:customStyle="1" w:styleId="57">
    <w:name w:val="符号列表"/>
    <w:basedOn w:val="1"/>
    <w:qFormat/>
    <w:uiPriority w:val="0"/>
    <w:pPr>
      <w:adjustRightInd w:val="0"/>
      <w:spacing w:line="440" w:lineRule="atLeast"/>
    </w:pPr>
    <w:rPr>
      <w:kern w:val="0"/>
      <w:sz w:val="24"/>
      <w:szCs w:val="20"/>
    </w:rPr>
  </w:style>
  <w:style w:type="paragraph" w:customStyle="1" w:styleId="58">
    <w:name w:val="Char Char Char Char1"/>
    <w:basedOn w:val="1"/>
    <w:qFormat/>
    <w:uiPriority w:val="0"/>
    <w:rPr>
      <w:rFonts w:ascii="Tahoma" w:hAnsi="Tahoma"/>
      <w:sz w:val="24"/>
      <w:szCs w:val="20"/>
    </w:rPr>
  </w:style>
  <w:style w:type="paragraph" w:customStyle="1" w:styleId="59">
    <w:name w:val="默认段落字体 Para Char Char Char Char Char Char Char Char Char1 Char Char Char Char Char Char Char"/>
    <w:basedOn w:val="13"/>
    <w:qFormat/>
    <w:uiPriority w:val="0"/>
    <w:rPr>
      <w:rFonts w:ascii="Tahoma" w:hAnsi="Tahoma"/>
      <w:sz w:val="24"/>
    </w:rPr>
  </w:style>
  <w:style w:type="paragraph" w:customStyle="1" w:styleId="60">
    <w:name w:val="小标题"/>
    <w:basedOn w:val="1"/>
    <w:next w:val="4"/>
    <w:qFormat/>
    <w:uiPriority w:val="0"/>
    <w:pPr>
      <w:numPr>
        <w:ilvl w:val="0"/>
        <w:numId w:val="3"/>
      </w:numPr>
      <w:spacing w:beforeLines="25" w:afterLines="25"/>
      <w:ind w:left="200" w:hanging="200" w:hangingChars="200"/>
    </w:pPr>
    <w:rPr>
      <w:rFonts w:ascii="Arial" w:hAnsi="Arial" w:eastAsia="黑体"/>
      <w:b/>
      <w:sz w:val="28"/>
    </w:rPr>
  </w:style>
  <w:style w:type="paragraph" w:customStyle="1" w:styleId="61">
    <w:name w:val="Char1"/>
    <w:basedOn w:val="1"/>
    <w:qFormat/>
    <w:uiPriority w:val="0"/>
    <w:rPr>
      <w:rFonts w:ascii="Tahoma" w:hAnsi="Tahoma"/>
      <w:sz w:val="24"/>
      <w:szCs w:val="20"/>
    </w:rPr>
  </w:style>
  <w:style w:type="paragraph" w:customStyle="1" w:styleId="62">
    <w:name w:val="Char2 Char Char Char"/>
    <w:basedOn w:val="1"/>
    <w:qFormat/>
    <w:uiPriority w:val="0"/>
    <w:rPr>
      <w:rFonts w:ascii="Tahoma" w:hAnsi="Tahoma"/>
      <w:sz w:val="24"/>
      <w:szCs w:val="20"/>
    </w:rPr>
  </w:style>
  <w:style w:type="paragraph" w:customStyle="1" w:styleId="63">
    <w:name w:val="Char Char Char Char Char Char Char Char Char Char Char Char Char"/>
    <w:basedOn w:val="1"/>
    <w:qFormat/>
    <w:uiPriority w:val="0"/>
    <w:rPr>
      <w:rFonts w:ascii="Tahoma" w:hAnsi="Tahoma"/>
      <w:sz w:val="24"/>
      <w:szCs w:val="20"/>
    </w:rPr>
  </w:style>
  <w:style w:type="paragraph" w:customStyle="1" w:styleId="64">
    <w:name w:val="Char1 Char Char Char Char Char Char1"/>
    <w:basedOn w:val="1"/>
    <w:qFormat/>
    <w:uiPriority w:val="0"/>
    <w:rPr>
      <w:rFonts w:ascii="Tahoma" w:hAnsi="Tahoma"/>
      <w:sz w:val="24"/>
      <w:szCs w:val="20"/>
    </w:rPr>
  </w:style>
  <w:style w:type="paragraph" w:customStyle="1" w:styleId="65">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6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p0"/>
    <w:basedOn w:val="1"/>
    <w:qFormat/>
    <w:uiPriority w:val="0"/>
    <w:pPr>
      <w:widowControl/>
    </w:pPr>
    <w:rPr>
      <w:kern w:val="0"/>
      <w:szCs w:val="21"/>
    </w:rPr>
  </w:style>
  <w:style w:type="paragraph" w:customStyle="1" w:styleId="68">
    <w:name w:val="_Style 61"/>
    <w:basedOn w:val="1"/>
    <w:qFormat/>
    <w:uiPriority w:val="0"/>
    <w:rPr>
      <w:szCs w:val="21"/>
    </w:rPr>
  </w:style>
  <w:style w:type="paragraph" w:customStyle="1" w:styleId="69">
    <w:name w:val="Char Char Char1"/>
    <w:basedOn w:val="1"/>
    <w:qFormat/>
    <w:uiPriority w:val="0"/>
    <w:rPr>
      <w:rFonts w:ascii="Tahoma" w:hAnsi="Tahoma"/>
      <w:sz w:val="24"/>
      <w:szCs w:val="20"/>
    </w:rPr>
  </w:style>
  <w:style w:type="paragraph" w:customStyle="1" w:styleId="70">
    <w:name w:val="附录1"/>
    <w:qFormat/>
    <w:uiPriority w:val="0"/>
    <w:pPr>
      <w:numPr>
        <w:ilvl w:val="0"/>
        <w:numId w:val="1"/>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71">
    <w:name w:val="样式1"/>
    <w:basedOn w:val="1"/>
    <w:qFormat/>
    <w:uiPriority w:val="0"/>
    <w:pPr>
      <w:numPr>
        <w:ilvl w:val="0"/>
        <w:numId w:val="4"/>
      </w:numPr>
      <w:adjustRightInd w:val="0"/>
      <w:textAlignment w:val="baseline"/>
    </w:pPr>
    <w:rPr>
      <w:rFonts w:ascii="宋体" w:hAnsi="宋体"/>
      <w:kern w:val="0"/>
      <w:szCs w:val="21"/>
    </w:rPr>
  </w:style>
  <w:style w:type="paragraph" w:customStyle="1" w:styleId="7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73">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74">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75">
    <w:name w:val="Char3"/>
    <w:basedOn w:val="1"/>
    <w:qFormat/>
    <w:uiPriority w:val="0"/>
    <w:pPr>
      <w:tabs>
        <w:tab w:val="left" w:pos="360"/>
      </w:tabs>
    </w:pPr>
    <w:rPr>
      <w:sz w:val="24"/>
    </w:rPr>
  </w:style>
  <w:style w:type="paragraph" w:customStyle="1" w:styleId="76">
    <w:name w:val="正文文字2"/>
    <w:basedOn w:val="1"/>
    <w:qFormat/>
    <w:uiPriority w:val="0"/>
    <w:pPr>
      <w:spacing w:before="50" w:line="440" w:lineRule="exact"/>
      <w:ind w:left="851"/>
    </w:pPr>
    <w:rPr>
      <w:sz w:val="24"/>
    </w:rPr>
  </w:style>
  <w:style w:type="paragraph" w:customStyle="1" w:styleId="77">
    <w:name w:val="格式1"/>
    <w:basedOn w:val="1"/>
    <w:qFormat/>
    <w:uiPriority w:val="0"/>
    <w:pPr>
      <w:spacing w:beforeLines="50"/>
      <w:jc w:val="center"/>
    </w:pPr>
    <w:rPr>
      <w:rFonts w:ascii="黑体" w:hAnsi="宋体" w:eastAsia="黑体"/>
      <w:b/>
      <w:bCs/>
      <w:color w:val="000000"/>
      <w:sz w:val="32"/>
      <w:szCs w:val="20"/>
    </w:rPr>
  </w:style>
  <w:style w:type="paragraph" w:customStyle="1" w:styleId="78">
    <w:name w:val="List Paragraph1"/>
    <w:basedOn w:val="1"/>
    <w:qFormat/>
    <w:uiPriority w:val="0"/>
    <w:pPr>
      <w:ind w:firstLine="420" w:firstLineChars="200"/>
    </w:pPr>
    <w:rPr>
      <w:rFonts w:ascii="Calibri" w:hAnsi="Calibri"/>
      <w:szCs w:val="22"/>
    </w:rPr>
  </w:style>
  <w:style w:type="paragraph" w:customStyle="1" w:styleId="79">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1">
    <w:name w:val="Section V. Header"/>
    <w:basedOn w:val="1"/>
    <w:qFormat/>
    <w:uiPriority w:val="0"/>
    <w:pPr>
      <w:widowControl/>
      <w:jc w:val="center"/>
    </w:pPr>
    <w:rPr>
      <w:rFonts w:ascii="Arial" w:hAnsi="Arial"/>
      <w:b/>
      <w:kern w:val="0"/>
      <w:sz w:val="36"/>
      <w:szCs w:val="20"/>
      <w:lang w:eastAsia="en-US"/>
    </w:rPr>
  </w:style>
  <w:style w:type="paragraph" w:customStyle="1" w:styleId="82">
    <w:name w:val="bf1"/>
    <w:basedOn w:val="1"/>
    <w:qFormat/>
    <w:uiPriority w:val="0"/>
    <w:pPr>
      <w:numPr>
        <w:ilvl w:val="0"/>
        <w:numId w:val="5"/>
      </w:numPr>
      <w:spacing w:line="400" w:lineRule="atLeast"/>
      <w:ind w:left="480" w:hanging="480"/>
    </w:pPr>
    <w:rPr>
      <w:rFonts w:eastAsia="楷体_GB2312"/>
      <w:sz w:val="24"/>
      <w:szCs w:val="20"/>
    </w:rPr>
  </w:style>
  <w:style w:type="paragraph" w:customStyle="1" w:styleId="83">
    <w:name w:val="bf"/>
    <w:basedOn w:val="1"/>
    <w:qFormat/>
    <w:uiPriority w:val="0"/>
    <w:pPr>
      <w:spacing w:line="400" w:lineRule="atLeast"/>
      <w:ind w:right="227"/>
      <w:jc w:val="center"/>
    </w:pPr>
    <w:rPr>
      <w:rFonts w:eastAsia="楷体_GB2312"/>
      <w:b/>
      <w:sz w:val="32"/>
      <w:szCs w:val="20"/>
    </w:rPr>
  </w:style>
  <w:style w:type="paragraph" w:customStyle="1" w:styleId="8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font7"/>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7">
    <w:name w:val="font8"/>
    <w:basedOn w:val="1"/>
    <w:qFormat/>
    <w:uiPriority w:val="0"/>
    <w:pPr>
      <w:widowControl/>
      <w:spacing w:before="100" w:beforeAutospacing="1" w:after="100" w:afterAutospacing="1"/>
      <w:jc w:val="left"/>
    </w:pPr>
    <w:rPr>
      <w:rFonts w:ascii="Arial" w:hAnsi="Arial" w:cs="Arial"/>
      <w:color w:val="000000"/>
      <w:kern w:val="0"/>
      <w:sz w:val="22"/>
      <w:szCs w:val="22"/>
    </w:rPr>
  </w:style>
  <w:style w:type="paragraph" w:customStyle="1" w:styleId="88">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89">
    <w:name w:val="font10"/>
    <w:basedOn w:val="1"/>
    <w:qFormat/>
    <w:uiPriority w:val="0"/>
    <w:pPr>
      <w:widowControl/>
      <w:spacing w:before="100" w:beforeAutospacing="1" w:after="100" w:afterAutospacing="1"/>
      <w:jc w:val="left"/>
    </w:pPr>
    <w:rPr>
      <w:kern w:val="0"/>
      <w:sz w:val="20"/>
      <w:szCs w:val="20"/>
    </w:rPr>
  </w:style>
  <w:style w:type="paragraph" w:customStyle="1" w:styleId="90">
    <w:name w:val="font11"/>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91">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92">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9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4">
    <w:name w:val="font15"/>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5">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6">
    <w:name w:val="font17"/>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font18"/>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8">
    <w:name w:val="font1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99">
    <w:name w:val="font2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0">
    <w:name w:val="font21"/>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01">
    <w:name w:val="font2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2">
    <w:name w:val="font23"/>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03">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4">
    <w:name w:val="xl167"/>
    <w:basedOn w:val="1"/>
    <w:qFormat/>
    <w:uiPriority w:val="0"/>
    <w:pPr>
      <w:widowControl/>
      <w:spacing w:before="100" w:beforeAutospacing="1" w:after="100" w:afterAutospacing="1"/>
      <w:jc w:val="left"/>
    </w:pPr>
    <w:rPr>
      <w:rFonts w:ascii="Arial" w:hAnsi="Arial" w:cs="Arial"/>
      <w:kern w:val="0"/>
      <w:sz w:val="24"/>
    </w:rPr>
  </w:style>
  <w:style w:type="paragraph" w:customStyle="1" w:styleId="105">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06">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07">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8">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09">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0">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11">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113">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14">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15">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6">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8">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0"/>
      <w:szCs w:val="20"/>
    </w:rPr>
  </w:style>
  <w:style w:type="paragraph" w:customStyle="1" w:styleId="120">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122">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23">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24">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5">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6">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27">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28">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129">
    <w:name w:val="xl1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130">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31">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132">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33">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34">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135">
    <w:name w:val="xl1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36">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37">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138">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39">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40">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141">
    <w:name w:val="xl2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42">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43">
    <w:name w:val="xl206"/>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w:hAnsi="Arial" w:cs="Arial"/>
      <w:b/>
      <w:bCs/>
      <w:kern w:val="0"/>
      <w:sz w:val="20"/>
      <w:szCs w:val="20"/>
    </w:rPr>
  </w:style>
  <w:style w:type="paragraph" w:customStyle="1" w:styleId="144">
    <w:name w:val="xl207"/>
    <w:basedOn w:val="1"/>
    <w:qFormat/>
    <w:uiPriority w:val="0"/>
    <w:pPr>
      <w:widowControl/>
      <w:pBdr>
        <w:top w:val="single" w:color="auto" w:sz="4" w:space="0"/>
        <w:bottom w:val="single" w:color="auto" w:sz="4" w:space="0"/>
      </w:pBdr>
      <w:spacing w:before="100" w:beforeAutospacing="1" w:after="100" w:afterAutospacing="1"/>
      <w:jc w:val="right"/>
    </w:pPr>
    <w:rPr>
      <w:rFonts w:ascii="Arial" w:hAnsi="Arial" w:cs="Arial"/>
      <w:b/>
      <w:bCs/>
      <w:kern w:val="0"/>
      <w:sz w:val="20"/>
      <w:szCs w:val="20"/>
    </w:rPr>
  </w:style>
  <w:style w:type="paragraph" w:customStyle="1" w:styleId="145">
    <w:name w:val="_Style 146"/>
    <w:basedOn w:val="2"/>
    <w:next w:val="1"/>
    <w:qFormat/>
    <w:uiPriority w:val="0"/>
    <w:pPr>
      <w:widowControl/>
      <w:spacing w:before="480" w:after="0" w:line="276" w:lineRule="auto"/>
      <w:ind w:left="0"/>
      <w:jc w:val="left"/>
      <w:outlineLvl w:val="9"/>
    </w:pPr>
    <w:rPr>
      <w:rFonts w:ascii="Cambria" w:hAnsi="Cambria" w:eastAsia="宋体"/>
      <w:bCs/>
      <w:color w:val="365F91"/>
      <w:kern w:val="0"/>
      <w:sz w:val="28"/>
      <w:szCs w:val="28"/>
    </w:rPr>
  </w:style>
  <w:style w:type="paragraph" w:customStyle="1" w:styleId="146">
    <w:name w:val="纯文本1"/>
    <w:basedOn w:val="1"/>
    <w:qFormat/>
    <w:uiPriority w:val="0"/>
    <w:pPr>
      <w:adjustRightInd w:val="0"/>
      <w:textAlignment w:val="baseline"/>
    </w:pPr>
    <w:rPr>
      <w:rFonts w:ascii="宋体" w:hAnsi="Courier New" w:eastAsia="楷体_GB2312" w:cs="Mangal"/>
      <w:sz w:val="26"/>
      <w:szCs w:val="20"/>
    </w:rPr>
  </w:style>
  <w:style w:type="paragraph" w:customStyle="1" w:styleId="147">
    <w:name w:val="Char Char Char Char Char Char Char"/>
    <w:basedOn w:val="1"/>
    <w:qFormat/>
    <w:uiPriority w:val="0"/>
    <w:rPr>
      <w:szCs w:val="21"/>
    </w:rPr>
  </w:style>
  <w:style w:type="paragraph" w:customStyle="1" w:styleId="148">
    <w:name w:val="正文 + 四"/>
    <w:basedOn w:val="1"/>
    <w:qFormat/>
    <w:uiPriority w:val="0"/>
    <w:rPr>
      <w:sz w:val="24"/>
    </w:rPr>
  </w:style>
  <w:style w:type="paragraph" w:customStyle="1" w:styleId="149">
    <w:name w:val="+正文"/>
    <w:basedOn w:val="1"/>
    <w:link w:val="166"/>
    <w:qFormat/>
    <w:uiPriority w:val="0"/>
    <w:pPr>
      <w:spacing w:line="360" w:lineRule="auto"/>
      <w:ind w:firstLine="200" w:firstLineChars="200"/>
    </w:pPr>
    <w:rPr>
      <w:sz w:val="24"/>
      <w:szCs w:val="28"/>
    </w:rPr>
  </w:style>
  <w:style w:type="paragraph" w:customStyle="1" w:styleId="150">
    <w:name w:val="List Paragraph"/>
    <w:basedOn w:val="1"/>
    <w:qFormat/>
    <w:uiPriority w:val="34"/>
    <w:pPr>
      <w:ind w:firstLine="420" w:firstLineChars="200"/>
    </w:pPr>
  </w:style>
  <w:style w:type="paragraph" w:customStyle="1" w:styleId="151">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pa-2"/>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pa-3"/>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M正文"/>
    <w:basedOn w:val="1"/>
    <w:link w:val="171"/>
    <w:qFormat/>
    <w:uiPriority w:val="0"/>
    <w:pPr>
      <w:spacing w:line="360" w:lineRule="auto"/>
      <w:ind w:firstLine="480" w:firstLineChars="200"/>
    </w:pPr>
    <w:rPr>
      <w:rFonts w:ascii="等线" w:hAnsi="等线" w:eastAsia="等线"/>
      <w:sz w:val="24"/>
    </w:rPr>
  </w:style>
  <w:style w:type="paragraph" w:customStyle="1" w:styleId="155">
    <w:name w:val="列出段落1"/>
    <w:basedOn w:val="1"/>
    <w:qFormat/>
    <w:uiPriority w:val="34"/>
    <w:pPr>
      <w:ind w:firstLine="420" w:firstLineChars="200"/>
    </w:pPr>
    <w:rPr>
      <w:rFonts w:ascii="Calibri" w:hAnsi="Calibri"/>
    </w:rPr>
  </w:style>
  <w:style w:type="paragraph" w:customStyle="1" w:styleId="156">
    <w:name w:val="正文 A"/>
    <w:qFormat/>
    <w:uiPriority w:val="0"/>
    <w:pPr>
      <w:widowControl w:val="0"/>
      <w:jc w:val="both"/>
    </w:pPr>
    <w:rPr>
      <w:rFonts w:ascii="Times New Roman" w:hAnsi="Times New Roman" w:eastAsia="Times New Roman" w:cs="Times New Roman"/>
      <w:color w:val="000000"/>
      <w:kern w:val="2"/>
      <w:sz w:val="21"/>
      <w:szCs w:val="21"/>
      <w:u w:val="none" w:color="000000"/>
      <w:lang w:val="en-US" w:eastAsia="zh-CN" w:bidi="ar-SA"/>
    </w:rPr>
  </w:style>
  <w:style w:type="paragraph" w:customStyle="1" w:styleId="157">
    <w:name w:val="正文缩进1"/>
    <w:qFormat/>
    <w:uiPriority w:val="0"/>
    <w:pPr>
      <w:widowControl w:val="0"/>
      <w:ind w:firstLine="420"/>
      <w:jc w:val="both"/>
    </w:pPr>
    <w:rPr>
      <w:rFonts w:hint="eastAsia" w:ascii="Arial Unicode MS" w:hAnsi="Arial Unicode MS" w:eastAsia="Times New Roman" w:cs="Arial Unicode MS"/>
      <w:color w:val="000000"/>
      <w:kern w:val="2"/>
      <w:sz w:val="21"/>
      <w:szCs w:val="21"/>
      <w:u w:val="none" w:color="000000"/>
      <w:lang w:val="en-US" w:eastAsia="zh-CN" w:bidi="ar-SA"/>
    </w:rPr>
  </w:style>
  <w:style w:type="character" w:customStyle="1" w:styleId="158">
    <w:name w:val="正文缩进 Char"/>
    <w:link w:val="4"/>
    <w:qFormat/>
    <w:uiPriority w:val="0"/>
    <w:rPr>
      <w:rFonts w:eastAsia="宋体"/>
      <w:kern w:val="2"/>
      <w:sz w:val="21"/>
      <w:lang w:val="en-US" w:eastAsia="zh-CN" w:bidi="ar-SA"/>
    </w:rPr>
  </w:style>
  <w:style w:type="character" w:customStyle="1" w:styleId="159">
    <w:name w:val="文档结构图 Char"/>
    <w:link w:val="13"/>
    <w:semiHidden/>
    <w:qFormat/>
    <w:uiPriority w:val="0"/>
    <w:rPr>
      <w:rFonts w:eastAsia="宋体"/>
      <w:kern w:val="2"/>
      <w:sz w:val="21"/>
      <w:szCs w:val="24"/>
      <w:lang w:val="en-US" w:eastAsia="zh-CN" w:bidi="ar-SA"/>
    </w:rPr>
  </w:style>
  <w:style w:type="character" w:customStyle="1" w:styleId="160">
    <w:name w:val="纯文本 Char"/>
    <w:link w:val="20"/>
    <w:qFormat/>
    <w:uiPriority w:val="0"/>
    <w:rPr>
      <w:rFonts w:ascii="宋体" w:hAnsi="Courier New" w:eastAsia="宋体"/>
      <w:kern w:val="2"/>
      <w:sz w:val="21"/>
      <w:lang w:val="en-US" w:eastAsia="zh-CN" w:bidi="ar-SA"/>
    </w:rPr>
  </w:style>
  <w:style w:type="character" w:customStyle="1" w:styleId="161">
    <w:name w:val="副标题 Char"/>
    <w:link w:val="29"/>
    <w:qFormat/>
    <w:uiPriority w:val="11"/>
    <w:rPr>
      <w:rFonts w:ascii="Arial" w:hAnsi="Arial"/>
      <w:b/>
      <w:sz w:val="40"/>
      <w:lang w:eastAsia="en-US"/>
    </w:rPr>
  </w:style>
  <w:style w:type="character" w:customStyle="1" w:styleId="162">
    <w:name w:val="wordwarp"/>
    <w:qFormat/>
    <w:uiPriority w:val="0"/>
  </w:style>
  <w:style w:type="character" w:customStyle="1" w:styleId="163">
    <w:name w:val="表正文 Char1"/>
    <w:qFormat/>
    <w:uiPriority w:val="0"/>
    <w:rPr>
      <w:rFonts w:eastAsia="宋体"/>
      <w:kern w:val="2"/>
      <w:sz w:val="21"/>
      <w:lang w:val="en-US" w:eastAsia="zh-CN" w:bidi="ar-SA"/>
    </w:rPr>
  </w:style>
  <w:style w:type="character" w:customStyle="1" w:styleId="164">
    <w:name w:val="ca-10"/>
    <w:qFormat/>
    <w:uiPriority w:val="0"/>
  </w:style>
  <w:style w:type="character" w:customStyle="1" w:styleId="165">
    <w:name w:val="Section-Title Char"/>
    <w:qFormat/>
    <w:uiPriority w:val="0"/>
    <w:rPr>
      <w:rFonts w:eastAsia="宋体"/>
      <w:b/>
      <w:bCs/>
      <w:kern w:val="2"/>
      <w:sz w:val="24"/>
      <w:szCs w:val="24"/>
      <w:lang w:val="en-US" w:eastAsia="zh-CN" w:bidi="ar-SA"/>
    </w:rPr>
  </w:style>
  <w:style w:type="character" w:customStyle="1" w:styleId="166">
    <w:name w:val="+正文 Char"/>
    <w:link w:val="149"/>
    <w:qFormat/>
    <w:locked/>
    <w:uiPriority w:val="0"/>
    <w:rPr>
      <w:rFonts w:eastAsia="宋体"/>
      <w:kern w:val="2"/>
      <w:sz w:val="24"/>
      <w:szCs w:val="28"/>
      <w:lang w:val="en-US" w:eastAsia="zh-CN" w:bidi="ar-SA"/>
    </w:rPr>
  </w:style>
  <w:style w:type="character" w:customStyle="1" w:styleId="167">
    <w:name w:val="ca-1"/>
    <w:qFormat/>
    <w:uiPriority w:val="0"/>
  </w:style>
  <w:style w:type="character" w:customStyle="1" w:styleId="168">
    <w:name w:val="ca-2"/>
    <w:qFormat/>
    <w:uiPriority w:val="0"/>
  </w:style>
  <w:style w:type="character" w:customStyle="1" w:styleId="169">
    <w:name w:val="ca-3"/>
    <w:qFormat/>
    <w:uiPriority w:val="0"/>
  </w:style>
  <w:style w:type="character" w:customStyle="1" w:styleId="170">
    <w:name w:val="apple-converted-space"/>
    <w:qFormat/>
    <w:uiPriority w:val="0"/>
  </w:style>
  <w:style w:type="character" w:customStyle="1" w:styleId="171">
    <w:name w:val="M正文 字符"/>
    <w:link w:val="154"/>
    <w:qFormat/>
    <w:uiPriority w:val="0"/>
    <w:rPr>
      <w:rFonts w:ascii="等线" w:hAnsi="等线" w:eastAsia="等线"/>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2110</Words>
  <Characters>2547</Characters>
  <Lines>15</Lines>
  <Paragraphs>4</Paragraphs>
  <TotalTime>50</TotalTime>
  <ScaleCrop>false</ScaleCrop>
  <LinksUpToDate>false</LinksUpToDate>
  <CharactersWithSpaces>2834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2020-11-04T08:07:00Z</dcterms:created>
  <dc:creator>zy</dc:creator>
  <cp:lastModifiedBy>lsw</cp:lastModifiedBy>
  <cp:lastPrinted>2020-11-09T08:03:00Z</cp:lastPrinted>
  <dcterms:modified xsi:type="dcterms:W3CDTF">2026-04-08T13:28:00Z</dcterms:modified>
  <dc:title>三明市第一医院净化系统维保项目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eyJoZGlkIjoiYjkzZTFlYjgzZGJmZjI1NmE1YTdhNDc4ZDRhOGM2YmIiLCJ1c2VySWQiOiIyOTU5ODU1MDQifQ==</vt:lpwstr>
  </property>
  <property fmtid="{D5CDD505-2E9C-101B-9397-08002B2CF9AE}" pid="4" name="ICV">
    <vt:lpwstr>F9F7A18CD8674986BD286715FBC800DA_13</vt:lpwstr>
  </property>
</Properties>
</file>